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ind w:left="0" w:right="0" w:firstLine="709"/>
        <w:jc w:val="righ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Приложение к письму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pStyle w:val="815"/>
        <w:ind w:left="0" w:right="0" w:firstLine="709"/>
        <w:jc w:val="righ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от __.05.2026 № 38-Исх-__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pStyle w:val="815"/>
        <w:ind w:left="0" w:right="0" w:firstLine="709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815"/>
        <w:ind w:left="0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Информация о проведении </w:t>
      </w:r>
      <w:r>
        <w:rPr>
          <w:rFonts w:ascii="Times New Roman" w:hAnsi="Times New Roman" w:cs="Times New Roman"/>
          <w:b/>
          <w:bCs/>
          <w:strike w:val="0"/>
          <w:sz w:val="28"/>
          <w:szCs w:val="28"/>
          <w:highlight w:val="none"/>
        </w:rPr>
        <w:t xml:space="preserve">аукциона № 2/2026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по продаже права на заключение договор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а </w:t>
      </w:r>
      <w:r>
        <w:rPr>
          <w:rFonts w:ascii="Times New Roman" w:hAnsi="Times New Roman"/>
          <w:b/>
          <w:bCs/>
          <w:sz w:val="28"/>
          <w:szCs w:val="28"/>
          <w:highlight w:val="none"/>
        </w:rPr>
        <w:t xml:space="preserve">о закреплении доли квоты добычи (вылова) водных биологических ресурсов</w:t>
      </w:r>
      <w:r>
        <w:rPr>
          <w:b/>
          <w:bCs/>
        </w:rPr>
      </w:r>
      <w:r/>
    </w:p>
    <w:p>
      <w:pPr>
        <w:pStyle w:val="815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pStyle w:val="815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промышленности Ханты-Мансийского автономного округа – Югры проводит</w:t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 аукцион № </w:t>
      </w:r>
      <w:r>
        <w:rPr>
          <w:rFonts w:ascii="Times New Roman" w:hAnsi="Times New Roman"/>
          <w:b w:val="0"/>
          <w:bCs w:val="0"/>
          <w:strike w:val="0"/>
          <w:sz w:val="28"/>
          <w:szCs w:val="28"/>
          <w:highlight w:val="none"/>
        </w:rPr>
        <w:t xml:space="preserve">№ 2/2026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электронной форме по продаже права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на заключение договора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о закреплении доли квоты добычи (вылова) водных биологических ресурсов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для осуществления промышленного рыболовства во внутренних водных объектах </w:t>
        <w:br/>
        <w:t xml:space="preserve">Ханты-Мансийского автономного округа – Югры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(далее – автономный округ).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15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Проведение 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укциона запланировано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«15» июня 2026 года в 12:00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(время г.Ханты-Мансийск).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pStyle w:val="815"/>
        <w:ind w:left="0" w:right="0" w:firstLine="709"/>
        <w:jc w:val="both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Заявки на учас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тие в аукционе подаются оператору электронной площадки с 00:00 «20» мая 2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026 года до 09:00 «31» мая 2026 года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(время г.Ханты-Мансийск)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по адресу сайта оператора электронной площадки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lang w:val="ru-RU"/>
        </w:rPr>
        <w:br/>
        <w:t xml:space="preserve">АО «Сбербанк – АСТ»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в информационно-телекоммуникационной сети «Интернет»: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hyperlink r:id="rId8" w:tooltip="http://www.sberbank-ast.ru" w:history="1">
        <w:r>
          <w:rPr>
            <w:rStyle w:val="794"/>
            <w:rFonts w:ascii="Times New Roman" w:hAnsi="Times New Roman" w:cs="Times New Roman"/>
            <w:color w:val="000000" w:themeColor="text1"/>
            <w:sz w:val="28"/>
            <w:szCs w:val="28"/>
            <w:highlight w:val="none"/>
          </w:rPr>
        </w:r>
        <w:r>
          <w:rPr>
            <w:rFonts w:ascii="Times New Roman" w:hAnsi="Times New Roman" w:cs="Times New Roman"/>
            <w:sz w:val="28"/>
            <w:szCs w:val="28"/>
            <w:highlight w:val="none"/>
            <w:u w:val="none"/>
          </w:rPr>
          <w:t xml:space="preserve">https://utp.sberbank-ast.ru</w:t>
        </w:r>
        <w:r>
          <w:rPr>
            <w:rStyle w:val="794"/>
            <w:rFonts w:ascii="Times New Roman" w:hAnsi="Times New Roman" w:cs="Times New Roman"/>
            <w:color w:val="000000" w:themeColor="text1"/>
            <w:sz w:val="28"/>
            <w:szCs w:val="28"/>
            <w:highlight w:val="none"/>
            <w:u w:val="single"/>
          </w:rPr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(переход через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официальный сайт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(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https://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r>
      <w:hyperlink r:id="rId9" w:tooltip="http://www.torgi.gov.ru" w:history="1">
        <w:r>
          <w:rPr>
            <w:rStyle w:val="794"/>
            <w:rFonts w:ascii="Times New Roman" w:hAnsi="Times New Roman" w:cs="Times New Roman"/>
            <w:color w:val="000000" w:themeColor="text1"/>
            <w:sz w:val="28"/>
            <w:szCs w:val="28"/>
            <w:highlight w:val="none"/>
            <w:u w:val="none"/>
            <w:lang w:val="en-US"/>
          </w:rPr>
          <w:t xml:space="preserve">torgi.gov.ru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)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color w:val="auto"/>
          <w:highlight w:val="none"/>
        </w:rPr>
      </w:r>
      <w:r/>
    </w:p>
    <w:p>
      <w:pPr>
        <w:pStyle w:val="815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При возникновении вопросов по подаче заявок необходимо обратиться в техническую поддержку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lang w:val="ru-RU"/>
        </w:rPr>
        <w:t xml:space="preserve">АО «Сбербанк – АСТ»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 по телефону: 8 (800) 302-29-99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или по адресу электронной почты: </w:t>
      </w:r>
      <w:hyperlink r:id="rId10" w:tooltip="mailto:property@sberbank-ast.ru" w:history="1">
        <w:r>
          <w:rPr>
            <w:rStyle w:val="794"/>
            <w:rFonts w:ascii="Times New Roman" w:hAnsi="Times New Roman" w:eastAsia="Calibri" w:cs="Times New Roman"/>
            <w:color w:val="000000" w:themeColor="text1"/>
            <w:sz w:val="28"/>
            <w:szCs w:val="28"/>
            <w:u w:val="single"/>
          </w:rPr>
          <w:t xml:space="preserve">property</w:t>
        </w:r>
        <w:r>
          <w:rPr>
            <w:rStyle w:val="794"/>
            <w:rFonts w:ascii="Times New Roman" w:hAnsi="Times New Roman" w:eastAsia="Calibri" w:cs="Times New Roman"/>
            <w:color w:val="000000" w:themeColor="text1"/>
            <w:sz w:val="28"/>
            <w:szCs w:val="28"/>
            <w:u w:val="none"/>
          </w:rPr>
          <w:t xml:space="preserve">@</w:t>
        </w:r>
        <w:r>
          <w:rPr>
            <w:rStyle w:val="794"/>
            <w:rFonts w:ascii="Times New Roman" w:hAnsi="Times New Roman" w:eastAsia="Calibri" w:cs="Times New Roman"/>
            <w:color w:val="000000" w:themeColor="text1"/>
            <w:sz w:val="28"/>
            <w:szCs w:val="28"/>
            <w:u w:val="single"/>
          </w:rPr>
          <w:t xml:space="preserve">sberbank</w:t>
        </w:r>
        <w:r>
          <w:rPr>
            <w:rStyle w:val="794"/>
            <w:rFonts w:ascii="Times New Roman" w:hAnsi="Times New Roman" w:eastAsia="Calibri" w:cs="Times New Roman"/>
            <w:color w:val="000000" w:themeColor="text1"/>
            <w:sz w:val="28"/>
            <w:szCs w:val="28"/>
            <w:u w:val="none"/>
          </w:rPr>
          <w:t xml:space="preserve">-</w:t>
        </w:r>
        <w:r>
          <w:rPr>
            <w:rStyle w:val="794"/>
            <w:rFonts w:ascii="Times New Roman" w:hAnsi="Times New Roman" w:eastAsia="Calibri" w:cs="Times New Roman"/>
            <w:color w:val="000000" w:themeColor="text1"/>
            <w:sz w:val="28"/>
            <w:szCs w:val="28"/>
            <w:u w:val="single"/>
          </w:rPr>
          <w:t xml:space="preserve">ast</w:t>
        </w:r>
        <w:r>
          <w:rPr>
            <w:rStyle w:val="794"/>
            <w:rFonts w:ascii="Times New Roman" w:hAnsi="Times New Roman" w:eastAsia="Calibri" w:cs="Times New Roman"/>
            <w:color w:val="000000" w:themeColor="text1"/>
            <w:sz w:val="28"/>
            <w:szCs w:val="28"/>
            <w:u w:val="none"/>
          </w:rPr>
          <w:t xml:space="preserve">.</w:t>
        </w:r>
        <w:r>
          <w:rPr>
            <w:rStyle w:val="794"/>
            <w:rFonts w:ascii="Times New Roman" w:hAnsi="Times New Roman" w:eastAsia="Calibri" w:cs="Times New Roman"/>
            <w:color w:val="000000" w:themeColor="text1"/>
            <w:sz w:val="28"/>
            <w:szCs w:val="28"/>
            <w:u w:val="single"/>
          </w:rPr>
          <w:t xml:space="preserve">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pStyle w:val="815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обеспечения участия в аукционе заинтересованным юридическим лицам и индивидуальным предпринимателям необходимо: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pStyle w:val="815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при отсутствии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усиленной квалифицированной электронной подписи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получить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ее в Федеральной налоговой службе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(далее – ФНС России) или ином аккредитованном удостоверяющем центре ФНС России.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Подробная информация размещена на официальном сайте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ФНС России 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https://www.nalog.gov.ru/rn86/related_activities/ucfns/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pStyle w:val="815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 пройти регистрацию на официальном сайте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ГИС Торги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(</w:t>
      </w:r>
      <w:hyperlink r:id="rId11" w:tooltip="http://www.torgi.gov.ru/" w:history="1">
        <w:r>
          <w:rPr>
            <w:rStyle w:val="794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www.torgi.gov.ru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для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получения информации о проведении аукциона и участия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 возникновении вопросов по регистрации на сайте необходимо обратиться по телефонам технической поддержки ГИС Торги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 8 (495) 139-74-34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8 (800) 600-68-64.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pStyle w:val="815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 обеспечить открытие специального банковского счета для последующего размещения на нем денежных средств в размере задатка по заявленному лоту и размещения денежных средств для участия в торговой сессии аукциона в коммерческом банке, включенном в перечень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утвержденный в со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ответствии с распоряжением Правительства Российской Федерации от 13.07.2018 № 1451-р «Об утверждении перечня банков в соответствии с подпунктом «а» пункта 1 части 5 статьи 44 Федерального закона от 5 апреля 2013 года № 44-ФЗ» (перечень банков прилагается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pStyle w:val="815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 ознакомиться с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u w:val="none"/>
        </w:rPr>
        <w:t xml:space="preserve">Правилами организации и проведения аукционов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u w:val="none"/>
        </w:rPr>
        <w:t xml:space="preserve">.</w:t>
      </w:r>
      <w:r>
        <w:rPr>
          <w:b w:val="0"/>
          <w:bCs w:val="0"/>
          <w:u w:val="none"/>
        </w:rPr>
      </w:r>
      <w:r/>
    </w:p>
    <w:p>
      <w:pPr>
        <w:pStyle w:val="815"/>
        <w:ind w:left="0" w:right="0" w:firstLine="709"/>
        <w:jc w:val="both"/>
        <w:spacing w:line="240" w:lineRule="auto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Также информация о проведении аукциона размещена: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pStyle w:val="815"/>
        <w:ind w:left="0" w:right="0" w:firstLine="709"/>
        <w:jc w:val="both"/>
        <w:spacing w:line="240" w:lineRule="auto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- на официальном сайте Департамента промышленности автономного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lang w:val="en-US"/>
        </w:rPr>
        <w:t xml:space="preserve">www.depprom.admhmao.ru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 в разделе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lang w:val="ru-RU"/>
        </w:rPr>
        <w:t xml:space="preserve">Деятельность – Отраслевые направления – Управление агропромышленного комплекса – Рыбохозяйственный комплекс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lang w:val="ru-RU"/>
        </w:rPr>
        <w:t xml:space="preserve">Аукционы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lang w:val="ru-RU"/>
        </w:rPr>
        <w:t xml:space="preserve">по продаже права на заключение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договора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о закреплении доли квоты добычи (вылова)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val="ru-RU"/>
        </w:rPr>
        <w:t xml:space="preserve">ВБР;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val="ru-RU"/>
        </w:rPr>
      </w:r>
      <w:r/>
    </w:p>
    <w:p>
      <w:pPr>
        <w:pStyle w:val="815"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/>
          <w:highlight w:val="none"/>
          <w:lang w:val="ru-RU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- на официальном сайте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Российской Федерации в информационно-телекоммуникационной сети «Интернет» для размещения информации</w:t>
        <w:br/>
        <w:t xml:space="preserve">о проведении торгов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-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https://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</w:rPr>
      </w:r>
      <w:hyperlink r:id="rId12" w:tooltip="http://www.torgi.gov.ru" w:history="1">
        <w:r>
          <w:rPr>
            <w:rStyle w:val="794"/>
            <w:rFonts w:ascii="Times New Roman" w:hAnsi="Times New Roman" w:cs="Times New Roman"/>
            <w:color w:val="000000" w:themeColor="text1"/>
            <w:sz w:val="28"/>
            <w:szCs w:val="28"/>
            <w:highlight w:val="none"/>
            <w:u w:val="none"/>
            <w:lang w:val="en-US"/>
          </w:rPr>
          <w:t xml:space="preserve">torgi.gov.ru</w:t>
        </w:r>
      </w:hyperlink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  <w:t xml:space="preserve"> (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</w:rPr>
        <w:t xml:space="preserve">извещение </w:t>
        <w:br/>
        <w:t xml:space="preserve">№ 22000181210000000013).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val="ru-RU"/>
        </w:rPr>
      </w:r>
      <w:r/>
    </w:p>
    <w:p>
      <w:pPr>
        <w:pStyle w:val="815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За получением дополнительной информации можно обратиться в отдел развития пищевой промышленности управления агропромышленного комплекса Департамента промышленности автономного округа: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pStyle w:val="815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Карташова Елена Валерьевна, консультант отдела, тел.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8(3467) 35-34-04, доб.3833;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pStyle w:val="815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Слепокуров Аким Валерьевич, заместитель начальника отдела, </w:t>
        <w:br/>
        <w:t xml:space="preserve">тел.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8(3467) 35-34-04, доб.3834.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/>
    </w:p>
    <w:p>
      <w:pPr>
        <w:pStyle w:val="815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/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sectPr>
      <w:footnotePr/>
      <w:endnotePr/>
      <w:type w:val="nextPage"/>
      <w:pgSz w:w="11906" w:h="16838" w:orient="portrait"/>
      <w:pgMar w:top="1417" w:right="1276" w:bottom="1134" w:left="1559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2"/>
    <w:next w:val="812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2"/>
    <w:next w:val="812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2"/>
    <w:next w:val="812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No Spacing"/>
    <w:basedOn w:val="812"/>
    <w:uiPriority w:val="1"/>
    <w:qFormat/>
    <w:pPr>
      <w:spacing w:after="0" w:line="240" w:lineRule="auto"/>
    </w:pPr>
  </w:style>
  <w:style w:type="paragraph" w:styleId="816">
    <w:name w:val="List Paragraph"/>
    <w:basedOn w:val="812"/>
    <w:uiPriority w:val="34"/>
    <w:qFormat/>
    <w:pPr>
      <w:contextualSpacing/>
      <w:ind w:left="720"/>
    </w:pPr>
  </w:style>
  <w:style w:type="character" w:styleId="81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www.sberbank-ast.ru" TargetMode="External"/><Relationship Id="rId9" Type="http://schemas.openxmlformats.org/officeDocument/2006/relationships/hyperlink" Target="http://www.torgi.gov.ru" TargetMode="External"/><Relationship Id="rId10" Type="http://schemas.openxmlformats.org/officeDocument/2006/relationships/hyperlink" Target="mailto:property@sberbank-ast.ru" TargetMode="External"/><Relationship Id="rId11" Type="http://schemas.openxmlformats.org/officeDocument/2006/relationships/hyperlink" Target="http://www.torgi.gov.ru/" TargetMode="External"/><Relationship Id="rId12" Type="http://schemas.openxmlformats.org/officeDocument/2006/relationships/hyperlink" Target="http://www.torgi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</cp:revision>
  <dcterms:modified xsi:type="dcterms:W3CDTF">2026-05-15T09:20:03Z</dcterms:modified>
</cp:coreProperties>
</file>