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ПРИМЕРНАЯ ФОРМА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закреплении доли квоты добычи (вылова) водных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биологических ресурсов во внутренних водах Российской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Федерации, за исключением внутренних морских вод Российской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Федерации, для осуществления промышленного рыболовства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599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Ханты-Мансийск</w:t>
      </w: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«___» ______ 202_ года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Департамент промышленности Ханты-Мансийского автономного округа – Югры,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в лице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Департаменте промышленности Ханты-Мансийского автономного округа – Югры, утвержденного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Ханты-Мансийского автономного округа - Югры от 17.02.2023 № 62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 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, действующе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на основании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___________________________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свидетельства о государственной регистрации юридического лица от _________ОГР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  <w:lang w:val="ru-RU"/>
        </w:rPr>
        <w:t xml:space="preserve">Н </w:t>
      </w:r>
      <w:r>
        <w:rPr>
          <w:rFonts w:ascii="Times New Roman" w:hAnsi="Times New Roman" w:eastAsia="Courier New" w:cs="Times New Roman"/>
          <w:b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_____________________,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именуем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ользователем, с другой стороны, совместно именуемые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торонами, </w:t>
      </w:r>
      <w:r>
        <w:rPr>
          <w:rFonts w:ascii="Times New Roman" w:hAnsi="Times New Roman" w:cs="Times New Roman"/>
          <w:sz w:val="24"/>
          <w:szCs w:val="24"/>
        </w:rPr>
        <w:t xml:space="preserve">заключили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 о </w:t>
      </w:r>
      <w:r>
        <w:rPr>
          <w:rFonts w:ascii="Times New Roman" w:hAnsi="Times New Roman" w:cs="Times New Roman"/>
          <w:sz w:val="24"/>
          <w:szCs w:val="24"/>
        </w:rPr>
        <w:t xml:space="preserve">следующем: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Согласно настоящему Договору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(реквизиты акта Уполномоченного органа, протокола аукциона по продаже </w:t>
      </w:r>
      <w:r>
        <w:rPr>
          <w:rFonts w:ascii="Times New Roman" w:hAnsi="Times New Roman" w:cs="Times New Roman"/>
          <w:sz w:val="18"/>
          <w:szCs w:val="18"/>
        </w:rPr>
        <w:t xml:space="preserve">права на заключение договора о закреплении доли квоты добычи (вылова) </w:t>
      </w:r>
      <w:r>
        <w:rPr>
          <w:rFonts w:ascii="Times New Roman" w:hAnsi="Times New Roman" w:cs="Times New Roman"/>
          <w:sz w:val="18"/>
          <w:szCs w:val="18"/>
        </w:rPr>
        <w:t xml:space="preserve">водных биологических ресурсов, проводимого в соответствии со </w:t>
      </w:r>
      <w:hyperlink r:id="rId8" w:tooltip="Федеральный закон от 20.12.2004 N 166-ФЗ (ред. от 08.03.2026) &quot;О рыболовстве и сохранении водных биологических ресурсов&quot; {КонсультантПлюс}" w:history="1">
        <w:r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статьей 38</w:t>
        </w:r>
      </w:hyperlink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Федерального закона «О рыболовстве и сохранении водных биологических </w:t>
      </w:r>
      <w:r>
        <w:rPr>
          <w:rFonts w:ascii="Times New Roman" w:hAnsi="Times New Roman" w:cs="Times New Roman"/>
          <w:sz w:val="18"/>
          <w:szCs w:val="18"/>
        </w:rPr>
        <w:t xml:space="preserve">ресурсов», или реквизиты договора (договоров) о закреплении доли квоты </w:t>
      </w:r>
      <w:r>
        <w:rPr>
          <w:rFonts w:ascii="Times New Roman" w:hAnsi="Times New Roman" w:cs="Times New Roman"/>
          <w:sz w:val="18"/>
          <w:szCs w:val="18"/>
        </w:rPr>
        <w:t xml:space="preserve">добычи (вылова) водных биологических ресурсов во внутренних водах </w:t>
      </w:r>
      <w:r>
        <w:rPr>
          <w:rFonts w:ascii="Times New Roman" w:hAnsi="Times New Roman" w:cs="Times New Roman"/>
          <w:sz w:val="18"/>
          <w:szCs w:val="18"/>
        </w:rPr>
        <w:t xml:space="preserve">Российской Федерации, за исключением внутренних морских вод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Федерации, для осуществления промышленного рыболовства, срок действия </w:t>
      </w:r>
      <w:r>
        <w:rPr>
          <w:rFonts w:ascii="Times New Roman" w:hAnsi="Times New Roman" w:cs="Times New Roman"/>
          <w:sz w:val="18"/>
          <w:szCs w:val="18"/>
        </w:rPr>
        <w:t xml:space="preserve">которого (которых) истекает, на основании которых заключен</w:t>
      </w:r>
      <w:r>
        <w:rPr>
          <w:rFonts w:ascii="Times New Roman" w:hAnsi="Times New Roman" w:cs="Times New Roman"/>
          <w:sz w:val="18"/>
          <w:szCs w:val="18"/>
        </w:rPr>
        <w:t xml:space="preserve"> настоящий Договор)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предоставляет, а Пользователь приобретает право на </w:t>
      </w:r>
      <w:r>
        <w:rPr>
          <w:rFonts w:ascii="Times New Roman" w:hAnsi="Times New Roman" w:cs="Times New Roman"/>
          <w:sz w:val="24"/>
          <w:szCs w:val="24"/>
        </w:rPr>
        <w:t xml:space="preserve">добычу (вылов) в соответствии с долей квоты добычи (вылова) водных </w:t>
      </w:r>
      <w:r>
        <w:rPr>
          <w:rFonts w:ascii="Times New Roman" w:hAnsi="Times New Roman" w:cs="Times New Roman"/>
          <w:sz w:val="24"/>
          <w:szCs w:val="24"/>
        </w:rPr>
        <w:t xml:space="preserve">биологических ресурсов во внутренних водах Российской Федерации, за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исключением  внутренних морских вод Российской Федерации, для осуществления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добычи (вылова) __________________________________в 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водного биологического ресурса)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(район добычи (вылова) водных биологических ресурсов)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размере 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(доля квоты добычи (вылова)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процентов)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основании настоящего Договора Пользователь осуществляет промышленное рыболовство во внутренних водах Российской Федерации, за исключением внутренних морских вод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II. Права и обязанности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Уполномоченный орган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а) осуществлять взаимодействие с Пользователем по вопросам осуществления рыболовства;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б) запрашивать информацию у Пользователя, касающуюся выполнения 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4. Уполномоченный орган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а) распределять Пользователю каждый календарный год в течение срока, указанного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tooltip="7. Срок &lt;*&gt; действия настоящего Договора 15 лет с _______ по _________." w:anchor="P632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7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Договора, квоту добычи (выло</w:t>
      </w:r>
      <w:r>
        <w:rPr>
          <w:rFonts w:ascii="Times New Roman" w:hAnsi="Times New Roman" w:cs="Times New Roman"/>
          <w:sz w:val="24"/>
          <w:szCs w:val="24"/>
        </w:rPr>
        <w:t xml:space="preserve">ва) водных биологических ресурсов во внутренних водах Российской Федерации, за исключением внутренних морских вод Российской Федерации, для осуществления промышленного рыболовства по соответствующему виду водных биологических ресурсов и району добычи (выло</w:t>
      </w:r>
      <w:r>
        <w:rPr>
          <w:rFonts w:ascii="Times New Roman" w:hAnsi="Times New Roman" w:cs="Times New Roman"/>
          <w:sz w:val="24"/>
          <w:szCs w:val="24"/>
        </w:rPr>
        <w:t xml:space="preserve">ва) водных биологических ресурсов исходя из утвержденных в установленном порядке на этот год соответствующих видов квот добычи (вылова) водных биологических ресурсов и доли квоты добычи (вылова) водных биологических ресурсов, закрепленной за Пользователем;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б) публиковать ежегодно информацию о распределенных между юридическими лицами и индивидуальными предпринимателями и об утвержденных в установленном порядке соответствующих видах квот добычи (вылова) водных биологических ресурсов;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в) осуществлять контроль за освоением квот добычи (вылова) водных биологических ресурсов, распределенных Пользователю;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г) осуществлять контроль за соблюдением 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5. Пользователь вправе: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а) приобретать право собственности на добытые (выловленные) водные биологические ресурсы, рыбную продукцию из них;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б) осу</w:t>
      </w:r>
      <w:r>
        <w:rPr>
          <w:rFonts w:ascii="Times New Roman" w:hAnsi="Times New Roman" w:cs="Times New Roman"/>
          <w:sz w:val="24"/>
          <w:szCs w:val="24"/>
        </w:rPr>
        <w:t xml:space="preserve">ществлять добычу (вылов) водных биологических ресурсов на основании ежегодно распределяемой ему квоты добычи (вылова) водных биологических ресурсов в соответствии с закрепленной настоящим Договором долей квоты добычи (вылова) водных биологических ресурсов;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в) получать информацию от Уполномоченного органа, касающуюся исполнения настоящего Договора.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6. Пользователь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а) осуществлять добычу (вылов) вод</w:t>
      </w:r>
      <w:r>
        <w:rPr>
          <w:rFonts w:ascii="Times New Roman" w:hAnsi="Times New Roman" w:cs="Times New Roman"/>
          <w:sz w:val="24"/>
          <w:szCs w:val="24"/>
        </w:rPr>
        <w:t xml:space="preserve">ных биологических ресурсов в пределах тех объемов, сроков, районов и в отношении тех видов водных биологических ресурсов, которые указаны в разрешении на добычу (вылов) водных биологических ресурсов,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б) соблюдать законодательство Российской Федерации в области рыболовства и сохранения водных биологических ресурсов;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в) соблюдать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г) представлять в установленном порядке отчетность о добыче (вылове) водных биологических ресурсов и производстве рыбной продукции.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III. Срок действия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7. Срок </w:t>
      </w:r>
      <w:r>
        <w:rPr>
          <w:rFonts w:ascii="Times New Roman" w:hAnsi="Times New Roman" w:cs="Times New Roman"/>
          <w:sz w:val="24"/>
          <w:szCs w:val="24"/>
        </w:rPr>
        <w:t xml:space="preserve">действия настоящего Договора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 «__» ______ 2026 года по «31» декабря </w:t>
        <w:br/>
        <w:t xml:space="preserve">2033 года.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Стороны оговорили, что обязательства по настоящему Договору действуют до полного их исполнения Сторонами.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IV. Порядок прекращения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Настоящий Договор прекращается: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а) в связи с истечением срока его действия;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б) при отказе Пользователя от права на добычу (вылов) водных биологических ресурсов, предоставленного ему настоящим Договором;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в) в связи с л</w:t>
      </w:r>
      <w:r>
        <w:rPr>
          <w:rFonts w:ascii="Times New Roman" w:hAnsi="Times New Roman" w:cs="Times New Roman"/>
          <w:sz w:val="24"/>
          <w:szCs w:val="24"/>
        </w:rPr>
        <w:t xml:space="preserve">иквидацией юридического лица, которому было предоставлено право на добычу (вылов) водных биологических ресурсов, или со смертью гражданина (индивидуального предпринимателя), которому было предоставлено право на добычу (вылов) водных биологических ресурсов;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г) в иных случаях, предусмотренных Гражданским </w:t>
      </w:r>
      <w:hyperlink r:id="rId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кодексом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другими федеральными законами.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Настоящий Договор может быть расторгнут до истечения срока его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 соглашению Сторон;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по требованию одной из Сторон -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по основаниям, предусмотренным </w:t>
      </w:r>
      <w:hyperlink r:id="rId10" w:tooltip="Федеральный закон от 20.12.2004 N 166-ФЗ (ред. от 08.03.2026) &quot;О рыболовстве и сохранении водных биологических ресурсов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частью 2 статьи 13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«О рыболовстве и сохранении водных биологических ресурсов».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11. 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исполнение оказалось невозможным вследствие обстоятельств непреодолимой силы.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VI. Рассмотрение и урегулирование споров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Все споры и разногласия, которые могут возникнуть в связи с реализацией настоящего Договора, Стороны будут стремиться решить путем переговоров.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13. В случае если споры и разногласия не могут быть решены путем переговоров, они подлежат разрешению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VII.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Договор составлен в 2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15. В случае изменения адресов и (или) реквизитов Сторон, та Сторона, у которой изменились адрес и (или) реквизиты, обязана уведомить другую Сторону о таких изменениях в течение 3 рабочих дней в письменном виде.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До получения уведомления все извещения, направленные с указанием предыдущего адреса и (или) реквизитов, считаются действительными.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16. Если иное не предусмотрено настоящим Договором, уведомления и иные юридически значимые сообщения Стороны направляют посредством почтовой связи заказным письмом с уведомлением о вручении или вручаются Пользователю под расписку.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center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VIII. Адреса и реквизиты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045" w:type="dxa"/>
        <w:tblInd w:w="26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647"/>
        <w:gridCol w:w="4397"/>
      </w:tblGrid>
      <w:tr>
        <w:trPr/>
        <w:tc>
          <w:tcPr>
            <w:shd w:val="clear" w:color="ffffff" w:fill="ffffff"/>
            <w:tcW w:w="4647" w:type="dxa"/>
            <w:textDirection w:val="lrTb"/>
            <w:noWrap w:val="false"/>
          </w:tcPr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Уполномоченный орган</w:t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2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  <w:r/>
          </w:p>
          <w:p>
            <w:pPr>
              <w:pStyle w:val="60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8601063930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</w:r>
            <w:r/>
          </w:p>
          <w:p>
            <w:pPr>
              <w:pStyle w:val="60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/>
          </w:p>
          <w:p>
            <w:pPr>
              <w:pStyle w:val="60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  <w:tabs>
                <w:tab w:val="left" w:pos="1432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уполномоченное на подписание настоящего договора</w:t>
            </w:r>
            <w:r>
              <w:rPr>
                <w:rFonts w:ascii="Times New Roman" w:hAnsi="Times New Roman" w:cs="Times New Roman"/>
                <w:bCs w:val="0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bCs w:val="0"/>
              </w:rPr>
            </w:r>
          </w:p>
          <w:p>
            <w:pPr>
              <w:pStyle w:val="602"/>
              <w:spacing w:line="240" w:lineRule="auto"/>
              <w:tabs>
                <w:tab w:val="left" w:pos="143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___________________        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(подпись)                            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  <w:rPr>
                <w:rFonts w:ascii="Times New Roman" w:hAnsi="Times New Roman" w:eastAsia="Times New Roman" w:cs="Times New Roman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МП (при наличии)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4397" w:type="dxa"/>
            <w:textDirection w:val="lrTb"/>
            <w:noWrap w:val="false"/>
          </w:tcPr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Пользователь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bidi="ar-SA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none"/>
                <w:lang w:bidi="ar-SA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non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none"/>
                <w:lang w:bidi="ar-SA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none"/>
                <w:lang w:bidi="ar-SA"/>
              </w:rPr>
            </w:r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</w:r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bidi="ar-SA"/>
              </w:rPr>
              <w:t xml:space="preserve">Банковские 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/>
          </w:p>
          <w:p>
            <w:pPr>
              <w:pStyle w:val="602"/>
              <w:spacing w:line="240" w:lineRule="auto"/>
              <w:tabs>
                <w:tab w:val="left" w:pos="1432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уполномоченное на подписание настоящего договора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spacing w:line="240" w:lineRule="auto"/>
              <w:tabs>
                <w:tab w:val="left" w:pos="1432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___________________      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(подпись)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 (Ф.И.О.)        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  <w:r/>
          </w:p>
          <w:p>
            <w:pPr>
              <w:pStyle w:val="602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lang w:val="ru-RU"/>
              </w:rPr>
            </w:r>
            <w:r/>
          </w:p>
          <w:p>
            <w:pPr>
              <w:pStyle w:val="602"/>
              <w:spacing w:line="240" w:lineRule="auto"/>
              <w:rPr>
                <w:rFonts w:ascii="Times New Roman" w:hAnsi="Times New Roman" w:eastAsia="Times New Roman" w:cs="Times New Roman"/>
                <w:bCs w:val="0"/>
                <w:color w:val="000000" w:themeColor="text1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t xml:space="preserve">МП (при наличии)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1_633"/>
        <w:jc w:val="lef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ConsPlusCel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369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8398&amp;date=27.04.2026&amp;dst=100547&amp;field=134" TargetMode="External"/><Relationship Id="rId9" Type="http://schemas.openxmlformats.org/officeDocument/2006/relationships/hyperlink" Target="https://login.consultant.ru/link/?req=doc&amp;base=LAW&amp;n=508490&amp;date=27.04.2026" TargetMode="External"/><Relationship Id="rId10" Type="http://schemas.openxmlformats.org/officeDocument/2006/relationships/hyperlink" Target="https://login.consultant.ru/link/?req=doc&amp;base=LAW&amp;n=528398&amp;date=27.04.2026&amp;dst=100476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2026-04-27T12:59:03Z</dcterms:modified>
</cp:coreProperties>
</file>