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/>
    </w:p>
    <w:p>
      <w:pPr>
        <w:pStyle w:val="879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к приказу Департамента промышленности </w:t>
      </w:r>
      <w:r/>
    </w:p>
    <w:p>
      <w:pPr>
        <w:pStyle w:val="879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/>
    </w:p>
    <w:p>
      <w:pPr>
        <w:pStyle w:val="879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от «14» мая 2026 года № 38-п-178</w:t>
      </w:r>
      <w:r/>
    </w:p>
    <w:p>
      <w:pPr>
        <w:pStyle w:val="879"/>
        <w:jc w:val="right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jc w:val="both"/>
        <w:spacing w:line="276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/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Документация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аукционе </w:t>
      </w:r>
      <w:r>
        <w:rPr>
          <w:rFonts w:ascii="Times New Roman" w:hAnsi="Times New Roman"/>
          <w:b w:val="0"/>
          <w:bCs w:val="0"/>
          <w:strike w:val="0"/>
          <w:sz w:val="28"/>
          <w:szCs w:val="28"/>
          <w:highlight w:val="none"/>
        </w:rPr>
        <w:t xml:space="preserve">№ 2/2026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электронной форме по продаже права </w:t>
        <w:br/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на заключение договора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о закреплении доли квоты добычи (вылова) водных биологических ресурсов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для осуществления промышленного рыболовства во внутренних водных объектах </w:t>
        <w:br/>
        <w:t xml:space="preserve"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79"/>
        <w:jc w:val="both"/>
        <w:spacing w:line="276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/>
    </w:p>
    <w:p>
      <w:pPr>
        <w:pStyle w:val="879"/>
        <w:ind w:left="0" w:firstLine="0"/>
        <w:jc w:val="center"/>
        <w:spacing w:line="276" w:lineRule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t xml:space="preserve">1. Общие положения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/>
    </w:p>
    <w:p>
      <w:pPr>
        <w:pStyle w:val="879"/>
        <w:ind w:left="0" w:firstLine="0"/>
        <w:jc w:val="center"/>
        <w:spacing w:line="276" w:lineRule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1.1. Настоящая документация об аукционе в электронной форме по продаже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права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на заключение договора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о закреплении доли квоты добычи (вылова) водных биологических ресурсов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для осуществления промышленного рыболовства во внутренних водных объектах </w:t>
        <w:br/>
        <w:t xml:space="preserve"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(далее – документация об аукционе) разработана Департаментом промышленности </w:t>
        <w:br/>
        <w:t xml:space="preserve"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соответствии </w:t>
        <w:br/>
        <w:t xml:space="preserve">с Гражданским кодексом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Российской Федерации, Федеральным законом от 20 декабря 2004 года № 166-ФЗ «О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рыболовстве и сохранении водных биологических ресурсов» (далее – Закон 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рыболовстве), Федеральным законом от 26 июля 2006 года № 135-ФЗ «О защите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конкуренции»,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постановлением Правительства Российской Федерации от 31 августа </w:t>
        <w:br/>
        <w:t xml:space="preserve">2024 года № 1206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«Об утверждении Правил организации и проведения аукционов в электронной форме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продаже права на заключение договора </w:t>
        <w:br/>
        <w:t xml:space="preserve">о закреплении доли квоты добычи (вылова)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водных биологических ресурсов, договора пользования водными биологическими</w:t>
      </w:r>
      <w:r>
        <w:rPr>
          <w:rFonts w:ascii="Times New Roman" w:hAnsi="Times New Roman" w:cs="Times New Roman"/>
          <w:sz w:val="28"/>
          <w:szCs w:val="28"/>
        </w:rPr>
        <w:t xml:space="preserve"> ресурсами, договора пользования рыболовным участком»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23 августа 2018 года № 987 </w:t>
        <w:br/>
        <w:t xml:space="preserve">«О распр</w:t>
      </w:r>
      <w:r>
        <w:rPr>
          <w:rFonts w:ascii="Times New Roman" w:hAnsi="Times New Roman" w:cs="Times New Roman"/>
          <w:sz w:val="28"/>
          <w:szCs w:val="28"/>
        </w:rPr>
        <w:t xml:space="preserve">еделении квот добычи (вылова) водных биологических ресурсов в соответствии с частью 12 статьи 31 Федерального закона «О рыболовстве и сохранении водных биологических ресурсов» и признании утратившими силу некоторых актов Правительства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 Департаменте промышленности Ханты-Мансийского автономного </w:t>
        <w:br/>
        <w:t xml:space="preserve">округа – Югры, утвержденным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Правительства </w:t>
        <w:br/>
        <w:t xml:space="preserve">Ханты-Мансийского автономного округа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Югры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17 февраля 2023 года № 62-п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1.2.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Организатор аукциона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– Департамент промышленности </w:t>
        <w:br/>
        <w:t xml:space="preserve">Ханты-Мансийского автономного округа – Югры (далее – организатор аукциона).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879"/>
        <w:ind w:left="0" w:right="0" w:firstLine="709"/>
        <w:jc w:val="both"/>
        <w:spacing w:line="276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Место нахождения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организатора аукциона: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628011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,</w:t>
        <w:br/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Ханты-Мансийский автономный округ – Югра, г.Ханты-Мансийск, ул.Рознина, д.64, каб.315.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Адрес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электронной почты: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hyperlink r:id="rId13" w:tooltip="mailto:depprom@admhmao.ru" w:history="1">
        <w:r>
          <w:rPr>
            <w:rStyle w:val="883"/>
            <w:rFonts w:ascii="Times New Roman" w:hAnsi="Times New Roman" w:eastAsia="Arial" w:cs="Times New Roman"/>
            <w:color w:val="000000" w:themeColor="text1"/>
            <w:sz w:val="28"/>
            <w:szCs w:val="28"/>
            <w:highlight w:val="none"/>
            <w:u w:val="none"/>
          </w:rPr>
          <w:t xml:space="preserve">depprom@admhmao.ru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  <w:t xml:space="preserve">.</w:t>
      </w:r>
      <w:r>
        <w:rPr>
          <w:highlight w:val="none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  <w:t xml:space="preserve">Контактные телефоны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+7(3467) 35-34-04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  <w:t xml:space="preserve"> добавочный номер 3834 (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  <w:t xml:space="preserve">Слепокуров Аким Валерьевич), добавочный номер 3833 (Карташова Елена Валерьевна).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  <w:lang w:val="ru-RU"/>
        </w:rPr>
      </w:r>
      <w:r/>
    </w:p>
    <w:p>
      <w:pPr>
        <w:pStyle w:val="879"/>
        <w:ind w:left="0" w:right="0" w:firstLine="709"/>
        <w:jc w:val="both"/>
        <w:spacing w:line="276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  <w:t xml:space="preserve">1.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3. Оператор электронной площадки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АО «Сбербанк – АСТ»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Адрес сайта оператора электронной площадки в информационно-телекоммуникационной сети «Интернет»: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hyperlink r:id="rId14" w:tooltip="https://utp.sberbank-ast.ru." w:history="1">
        <w:r>
          <w:rPr>
            <w:rStyle w:val="883"/>
            <w:rFonts w:ascii="Times New Roman" w:hAnsi="Times New Roman" w:cs="Times New Roman"/>
            <w:color w:val="000000" w:themeColor="text1"/>
            <w:sz w:val="28"/>
            <w:szCs w:val="28"/>
            <w:highlight w:val="none"/>
          </w:rPr>
          <w:t xml:space="preserve">https://utp.sberbank-ast.ru</w:t>
        </w:r>
        <w:r>
          <w:rPr>
            <w:rStyle w:val="883"/>
            <w:rFonts w:ascii="Times New Roman" w:hAnsi="Times New Roman" w:cs="Times New Roman"/>
            <w:color w:val="000000" w:themeColor="text1"/>
            <w:sz w:val="28"/>
            <w:szCs w:val="28"/>
            <w:highlight w:val="none"/>
            <w:lang w:val="ru-RU"/>
          </w:rPr>
          <w:t xml:space="preserve">.</w:t>
        </w:r>
        <w:r>
          <w:rPr>
            <w:rStyle w:val="883"/>
            <w:rFonts w:ascii="Times New Roman" w:hAnsi="Times New Roman" w:cs="Times New Roman"/>
            <w:color w:val="000000" w:themeColor="text1"/>
            <w:sz w:val="28"/>
            <w:szCs w:val="28"/>
          </w:rPr>
        </w:r>
        <w:r>
          <w:rPr>
            <w:rStyle w:val="883"/>
            <w:color w:val="000000" w:themeColor="text1"/>
          </w:rPr>
        </w:r>
      </w:hyperlink>
      <w:r>
        <w:rPr>
          <w:color w:val="000000" w:themeColor="text1"/>
        </w:rPr>
      </w:r>
      <w:r/>
    </w:p>
    <w:p>
      <w:pPr>
        <w:ind w:left="0" w:right="0" w:firstLine="709"/>
        <w:jc w:val="both"/>
        <w:spacing w:before="0" w:after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1.4.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Официальные сайты, на которых размещена документация об аукционе:</w:t>
      </w:r>
      <w:r>
        <w:rPr>
          <w:highlight w:val="none"/>
        </w:rPr>
      </w:r>
      <w:r/>
    </w:p>
    <w:p>
      <w:pPr>
        <w:ind w:left="0" w:right="0" w:firstLine="709"/>
        <w:jc w:val="both"/>
        <w:spacing w:before="0" w:after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фициальный сайт Российской Федерации в информационно-телекоммуникационной сети «Интернет» для размещения информации о проведении торгов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-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https://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</w:rPr>
      </w:r>
      <w:hyperlink r:id="rId15" w:tooltip="http://www.torgi.gov.ru" w:history="1">
        <w:r>
          <w:rPr>
            <w:rStyle w:val="883"/>
            <w:rFonts w:ascii="Times New Roman" w:hAnsi="Times New Roman" w:cs="Times New Roman"/>
            <w:color w:val="000000" w:themeColor="text1"/>
            <w:sz w:val="28"/>
            <w:szCs w:val="28"/>
            <w:highlight w:val="none"/>
            <w:u w:val="none"/>
            <w:lang w:val="en-US"/>
          </w:rPr>
          <w:t xml:space="preserve">torgi.gov.ru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  <w:t xml:space="preserve">(далее – официальный сайт)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en-US"/>
        </w:rPr>
        <w:t xml:space="preserve">;</w:t>
      </w:r>
      <w:r>
        <w:rPr>
          <w:highlight w:val="none"/>
        </w:rPr>
      </w:r>
      <w:r/>
    </w:p>
    <w:p>
      <w:pPr>
        <w:ind w:left="0" w:right="0" w:firstLine="709"/>
        <w:jc w:val="both"/>
        <w:spacing w:before="0" w:after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  <w:t xml:space="preserve">официальный сайт оператора электронной площадки (АО «Сбербанк – АСТ»)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hyperlink r:id="rId16" w:tooltip="https://utp.sberbank-ast.ru" w:history="1">
        <w:r>
          <w:rPr>
            <w:rStyle w:val="883"/>
            <w:rFonts w:ascii="Times New Roman" w:hAnsi="Times New Roman" w:cs="Times New Roman"/>
            <w:color w:val="000000" w:themeColor="text1"/>
            <w:sz w:val="28"/>
            <w:szCs w:val="28"/>
            <w:highlight w:val="none"/>
          </w:rPr>
          <w:t xml:space="preserve">https://utp.sberbank-ast.ru</w:t>
        </w:r>
        <w:r>
          <w:rPr>
            <w:rStyle w:val="883"/>
            <w:rFonts w:ascii="Times New Roman" w:hAnsi="Times New Roman" w:cs="Times New Roman"/>
            <w:color w:val="000000" w:themeColor="text1"/>
            <w:sz w:val="28"/>
            <w:szCs w:val="28"/>
            <w:highlight w:val="none"/>
          </w:rPr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;</w:t>
      </w:r>
      <w:r>
        <w:rPr>
          <w:highlight w:val="none"/>
        </w:rPr>
      </w:r>
      <w:r/>
    </w:p>
    <w:p>
      <w:pPr>
        <w:ind w:left="0" w:right="0" w:firstLine="709"/>
        <w:jc w:val="both"/>
        <w:spacing w:before="0" w:after="0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официальный сайт организатора аукциона (Департамент промышленности Ханты-Мансийского автономного округа – Югры) -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</w:r>
      <w:hyperlink r:id="rId17" w:tooltip="https://depprom.admhmao.ru/deyatelnost/upravlenie-agropromyshlennogo-kompleksa/rybokhozyaystvennyy-kompleks/." w:history="1">
        <w:r>
          <w:rPr>
            <w:rStyle w:val="883"/>
            <w:rFonts w:ascii="Times New Roman" w:hAnsi="Times New Roman" w:cs="Times New Roman"/>
            <w:color w:val="000000" w:themeColor="text1"/>
            <w:sz w:val="28"/>
            <w:szCs w:val="28"/>
            <w:highlight w:val="none"/>
            <w:u w:val="none"/>
            <w:lang w:val="ru-RU"/>
          </w:rPr>
        </w:r>
        <w:r>
          <w:rPr>
            <w:rStyle w:val="883"/>
            <w:rFonts w:ascii="Times New Roman" w:hAnsi="Times New Roman" w:cs="Times New Roman"/>
            <w:color w:val="000000" w:themeColor="text1"/>
            <w:sz w:val="28"/>
            <w:szCs w:val="28"/>
            <w:highlight w:val="none"/>
            <w:u w:val="none"/>
            <w:lang w:val="ru-RU"/>
          </w:rPr>
          <w:t xml:space="preserve">https://depprom.admhmao.ru/activity/otraslevye-napravleniya/upravlenie-agropromyshlennogo-kompleksa/</w:t>
        </w:r>
        <w:r>
          <w:rPr>
            <w:rStyle w:val="883"/>
            <w:rFonts w:ascii="Times New Roman" w:hAnsi="Times New Roman" w:cs="Times New Roman"/>
            <w:color w:val="000000" w:themeColor="text1"/>
            <w:sz w:val="28"/>
            <w:szCs w:val="28"/>
            <w:highlight w:val="none"/>
            <w:u w:val="none"/>
          </w:rPr>
        </w:r>
      </w:hyperlink>
      <w:r>
        <w:rPr>
          <w:highlight w:val="none"/>
        </w:rPr>
        <w:t xml:space="preserve">.</w:t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Реквизиты решения о проведении аукциона: </w:t>
      </w:r>
      <w:r>
        <w:rPr>
          <w:rFonts w:ascii="Times New Roman" w:hAnsi="Times New Roman" w:cs="Times New Roman"/>
          <w:sz w:val="28"/>
          <w:szCs w:val="28"/>
        </w:rPr>
        <w:t xml:space="preserve">приказ Департамента промышленности Ханты-Мансийского автономного округа – Югры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от «14» мая 2026 года № 38-п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-178 «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О </w:t>
      </w:r>
      <w:r>
        <w:rPr>
          <w:rFonts w:ascii="Times New Roman" w:hAnsi="Times New Roman"/>
          <w:b w:val="0"/>
          <w:bCs w:val="0"/>
          <w:strike w:val="0"/>
          <w:sz w:val="28"/>
          <w:szCs w:val="28"/>
          <w:highlight w:val="none"/>
        </w:rPr>
        <w:t xml:space="preserve">проведении аукциона в электронной форме</w:t>
      </w:r>
      <w:r>
        <w:rPr>
          <w:rFonts w:ascii="Times New Roman" w:hAnsi="Times New Roman"/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по продаже права на заключение договора о закреплении доли квоты добычи (вылова) водных биологических ресурсов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для осуществления промышленного рыболовства во внутренних водных объектах </w:t>
        <w:br/>
        <w:t xml:space="preserve">Ханты-Мансийского автономного округа – Югры»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1.6.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Предмет аукциона (лот)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право на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заключение договора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о закреплении доли квоты добычи (вылова) водных биологических ресурсов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для осуществления промышленного рыболовства во внутренних водных объектах Ханты-Мансийского автономного округа – Югры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Предметы аукциона (лоты), начальная цена лота, шаг аукциона, размер средств, вносимых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качестве обеспечения заявки на участие в аукционе (далее – задаток) определены организатором аукциона в соответствии с постановлением Правительства Российской Федерации </w:t>
        <w:br/>
        <w:t xml:space="preserve">от 31 августа 2024 года № 1206 «Об утверждении Правил организации и проведения аукци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онов в электронной форме по продаже права на заключение договора о закреплении доли квоты добычи (вылова) водных биологических ресурсов, договора пользования водными биологическими ресурсами, договора пользования рыболовным участком»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приведены в таблице.</w:t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tbl>
      <w:tblPr>
        <w:tblStyle w:val="871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276"/>
        <w:gridCol w:w="1984"/>
        <w:gridCol w:w="1276"/>
        <w:gridCol w:w="1276"/>
        <w:gridCol w:w="1134"/>
      </w:tblGrid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№ лота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Наименование вида водного биологического ресурса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Доля квоты (добычи) вылова, %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Район добычи (вылова)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Начальная цена лота, руб.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Шаг аукциона, руб.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Задаток, руб.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тугун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4,0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Водные объекты Ханты-Мансийского автономного округа – Югры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33,13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1,66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13,25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тугун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40,0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Водные объекты Ханты-Мансийского автономного округа – Югры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331,31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16,57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132,52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тугун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20,0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Водные объекты Ханты-Мансийского автономного округа – Югры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165,65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8,28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66,26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</w:tbl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1.7.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Договор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о закреплении доли квоты добычи (вылова) водных биологических ресурсов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заключается с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победителем аукциона, вступает в силу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 дня его подписания сторонами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и действует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до 31 декабря 2033 года.</w:t>
      </w:r>
      <w:r>
        <w:rPr>
          <w:highlight w:val="red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1.8.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Заявки на учас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тие в аукционе подаются оператору электронной площадки с 00:00 «20» мая 2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026 года до 09:00 «31» мая 2026 года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(время г.Ханты-Мансийск)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по адресу сайта оператора электронной площадки в информационно-телекоммуникационной сети «Интернет»: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hyperlink r:id="rId18" w:tooltip="http://www.sberbank-ast.ru" w:history="1">
        <w:r>
          <w:rPr>
            <w:rStyle w:val="883"/>
            <w:rFonts w:ascii="Times New Roman" w:hAnsi="Times New Roman" w:cs="Times New Roman"/>
            <w:color w:val="000000" w:themeColor="text1"/>
            <w:sz w:val="28"/>
            <w:szCs w:val="28"/>
            <w:highlight w:val="none"/>
          </w:rPr>
        </w:r>
        <w:r>
          <w:rPr>
            <w:rFonts w:ascii="Times New Roman" w:hAnsi="Times New Roman" w:cs="Times New Roman"/>
            <w:sz w:val="28"/>
            <w:szCs w:val="28"/>
            <w:highlight w:val="none"/>
          </w:rPr>
          <w:t xml:space="preserve">https://utp.sberbank-ast.ru</w:t>
        </w:r>
        <w:r>
          <w:rPr>
            <w:rStyle w:val="883"/>
            <w:rFonts w:ascii="Times New Roman" w:hAnsi="Times New Roman" w:cs="Times New Roman"/>
            <w:color w:val="000000" w:themeColor="text1"/>
            <w:sz w:val="28"/>
            <w:szCs w:val="28"/>
            <w:highlight w:val="none"/>
          </w:rPr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(переход через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официальный сайт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https://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r>
      <w:hyperlink r:id="rId19" w:tooltip="http://www.torgi.gov.ru" w:history="1">
        <w:r>
          <w:rPr>
            <w:rStyle w:val="883"/>
            <w:rFonts w:ascii="Times New Roman" w:hAnsi="Times New Roman" w:cs="Times New Roman"/>
            <w:color w:val="000000" w:themeColor="text1"/>
            <w:sz w:val="28"/>
            <w:szCs w:val="28"/>
            <w:highlight w:val="none"/>
            <w:u w:val="none"/>
            <w:lang w:val="en-US"/>
          </w:rPr>
          <w:t xml:space="preserve">torgi.gov.ru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/>
    </w:p>
    <w:p>
      <w:pPr>
        <w:pStyle w:val="879"/>
        <w:ind w:left="0" w:right="0" w:firstLine="709"/>
        <w:jc w:val="both"/>
        <w:spacing w:line="276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1.9. Даты начала и окончания рассмотрения заявок на участие в аукционе комиссией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по проведению аукциона.</w:t>
      </w:r>
      <w:r/>
    </w:p>
    <w:p>
      <w:pPr>
        <w:pStyle w:val="879"/>
        <w:ind w:left="0" w:right="0" w:firstLine="709"/>
        <w:jc w:val="both"/>
        <w:spacing w:line="276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Дата начала рассмотрения заявок: «1» июня 2026 года.</w:t>
      </w:r>
      <w:r>
        <w:rPr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Дата окончания рассмотрения заявок: «11» июня 2026 года.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1.10.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Аукцион проводится «15» июня 2026 года в 12:00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(время г.Ханты-Мансийск)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в соответствии с порядком,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установленным разделом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V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Правил организации и проведения аукционов в электронной форме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 продаже права на заключение договора о закреплении доли квоты добычи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(вылова) водных биологических ресурсов, договора пользования водными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биологическими ресурсами, договора пользования рыболовным участком,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утвержденных постановлением Правительства Российской Федерации от 31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августа 2024 года № 1206.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1.11.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 Организатор аукциона вправе принять решение об отмене проведения аукциона в сроки, установленные Гражданским кодексом Российской Федерации.</w:t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Срок отмены аукциона: не позднее «11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» июня 2026 года.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</w:r>
      <w:r/>
    </w:p>
    <w:p>
      <w:pPr>
        <w:pStyle w:val="879"/>
        <w:ind w:left="0" w:firstLine="0"/>
        <w:jc w:val="left"/>
        <w:spacing w:line="276" w:lineRule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/>
    </w:p>
    <w:p>
      <w:pPr>
        <w:pStyle w:val="879"/>
        <w:ind w:left="0" w:firstLine="0"/>
        <w:jc w:val="center"/>
        <w:spacing w:line="276" w:lineRule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t xml:space="preserve">2. Требования к заявителям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/>
    </w:p>
    <w:p>
      <w:pPr>
        <w:pStyle w:val="879"/>
        <w:ind w:left="0" w:firstLine="0"/>
        <w:jc w:val="center"/>
        <w:spacing w:line="276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undefined"/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Для участия в аукционе заявитель должен соответствовать следующим требованиям: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bookmarkStart w:id="178" w:name="P178"/>
      <w:r>
        <w:rPr>
          <w:rFonts w:ascii="Times New Roman" w:hAnsi="Times New Roman" w:cs="Times New Roman"/>
          <w:sz w:val="28"/>
          <w:szCs w:val="28"/>
        </w:rPr>
      </w:r>
      <w:bookmarkEnd w:id="178"/>
      <w:r>
        <w:rPr>
          <w:rFonts w:ascii="Times New Roman" w:hAnsi="Times New Roman" w:cs="Times New Roman"/>
          <w:sz w:val="28"/>
          <w:szCs w:val="28"/>
        </w:rPr>
        <w:t xml:space="preserve">а) в отношении заявителя не проводятся процедуры банкротства и ликвидации;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б) деятельность заявителя не приостановлена в порядке, предусмотренном </w:t>
      </w:r>
      <w:hyperlink r:id="rId20" w:tooltip="&quot;Кодекс Российской Федерации об административных правонарушениях&quot; от 30.12.2001 N 195-ФЗ (ред. от 03.02.2025) (с изм. и доп., вступ. в силу с 01.03.2025) {КонсультантПлюс}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Кодексом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об административных правонарушениях, на день подачи заявки на участие в аукционе;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bookmarkStart w:id="180" w:name="P180"/>
      <w:r>
        <w:rPr>
          <w:rFonts w:ascii="Times New Roman" w:hAnsi="Times New Roman" w:cs="Times New Roman"/>
          <w:sz w:val="28"/>
          <w:szCs w:val="28"/>
        </w:rPr>
      </w:r>
      <w:bookmarkEnd w:id="180"/>
      <w:r>
        <w:rPr>
          <w:rFonts w:ascii="Times New Roman" w:hAnsi="Times New Roman" w:cs="Times New Roman"/>
          <w:sz w:val="28"/>
          <w:szCs w:val="28"/>
        </w:rPr>
        <w:t xml:space="preserve">в) у заявителя отсутствует задолженность по начисленным налогам, сборам и иным обязательным платежам в соответствующие бюджеты или государственные внебюджетные фонды </w:t>
      </w:r>
      <w:r>
        <w:rPr>
          <w:rFonts w:ascii="Times New Roman" w:hAnsi="Times New Roman" w:cs="Times New Roman"/>
          <w:sz w:val="28"/>
          <w:szCs w:val="28"/>
        </w:rPr>
        <w:t xml:space="preserve">за последний отчетный период, размер которой превышает 25 процентов балансовой стоимости активов заявителя (по данным бухгалтерской отчетности за последний отчетный период). В случае наличия задолженности в размере, превышающем 25 процентов указанной стоим</w:t>
      </w:r>
      <w:r>
        <w:rPr>
          <w:rFonts w:ascii="Times New Roman" w:hAnsi="Times New Roman" w:cs="Times New Roman"/>
          <w:sz w:val="28"/>
          <w:szCs w:val="28"/>
        </w:rPr>
        <w:t xml:space="preserve">ости, заявитель считается соответствующим установленному требованию,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г) заявитель не находится под контролем иностранн</w:t>
      </w:r>
      <w:r>
        <w:rPr>
          <w:rFonts w:ascii="Times New Roman" w:hAnsi="Times New Roman" w:cs="Times New Roman"/>
          <w:sz w:val="28"/>
          <w:szCs w:val="28"/>
        </w:rPr>
        <w:t xml:space="preserve">ого инвестора или группы лиц, в которую входит иностранный инвестор, за исключением случая, если контроль иностранного инвестора или группы лиц, в которую входит иностранный инвестор, в отношении заявителя установлен в порядке, предусмотренном Федеральным </w:t>
      </w:r>
      <w:hyperlink r:id="rId21" w:tooltip="Федеральный закон от 29.04.2008 N 57-ФЗ (ред. от 30.11.2024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(с изм. и доп., вступ. в силу с 01.03.2025) {КонсультантПлюс}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- для юридического лица;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</w:r>
      <w:r>
        <w:rPr>
          <w:rFonts w:ascii="Times New Roman" w:hAnsi="Times New Roman" w:cs="Times New Roman"/>
          <w:sz w:val="28"/>
          <w:szCs w:val="28"/>
          <w:highlight w:val="green"/>
        </w:rPr>
      </w:r>
      <w:bookmarkStart w:id="182" w:name="P182"/>
      <w:r>
        <w:rPr>
          <w:rFonts w:ascii="Times New Roman" w:hAnsi="Times New Roman" w:cs="Times New Roman"/>
          <w:sz w:val="28"/>
          <w:szCs w:val="28"/>
          <w:highlight w:val="green"/>
        </w:rPr>
      </w:r>
      <w:bookmarkEnd w:id="182"/>
      <w:r>
        <w:rPr>
          <w:rFonts w:ascii="Times New Roman" w:hAnsi="Times New Roman" w:cs="Times New Roman"/>
          <w:sz w:val="28"/>
          <w:szCs w:val="28"/>
          <w:highlight w:val="none"/>
        </w:rPr>
        <w:t xml:space="preserve">д) заявитель отсутствует в реестре недобросовестных участников аукционов по продаже права на заключение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договоров о закреплении доли квоты добычи (вылова) водных биоресурсов, договоров о закреплении и предоставлении доли квоты добычи (вы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лова) крабов, предоставленной в инвестиционных целях в области рыболовства, для осуществления промышленного рыболовства и (или) прибрежного рыболовства, договоров пользования водными биоресурсами, договоров пользования рыболовным участком, предусмотренном </w:t>
      </w:r>
      <w:hyperlink r:id="rId22" w:tooltip="Федеральный закон от 20.12.2004 N 166-ФЗ (ред. от 30.11.2024) &quot;О рыболовстве и сохранении водных биологических ресурсов&quot; {КонсультантПлюс}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none"/>
          </w:rPr>
          <w:t xml:space="preserve">статьей 38.3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Закона о рыболовстве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(далее – реестр недобросовестных участников аукциона)</w:t>
      </w:r>
      <w:r>
        <w:rPr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green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79"/>
        <w:ind w:left="0" w:right="0" w:firstLine="709"/>
        <w:jc w:val="center"/>
        <w:spacing w:line="276" w:lineRule="auto"/>
        <w:rPr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3. Порядок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подачи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заявок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на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участие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аукционе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center"/>
        <w:spacing w:line="276" w:lineRule="auto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3.1. Для участия в аукционе заявитель подает заявку </w:t>
        <w:br/>
        <w:t xml:space="preserve">(по форме, прилагаемой к документации об аукционе) на участие в аукционе оператору электронной площадки в сроки, указанные в пункте 1.8 документации об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аукцион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е,</w:t>
      </w:r>
      <w:r>
        <w:rPr>
          <w:rFonts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обеспечивает</w:t>
      </w:r>
      <w:r>
        <w:rPr>
          <w:rFonts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наличие</w:t>
      </w:r>
      <w:r>
        <w:rPr>
          <w:rFonts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</w:t>
      </w:r>
      <w:r>
        <w:rPr>
          <w:rFonts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банковском</w:t>
      </w:r>
      <w:r>
        <w:rPr>
          <w:rFonts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счете,</w:t>
      </w:r>
      <w:r>
        <w:rPr>
          <w:rFonts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открытом</w:t>
      </w:r>
      <w:r>
        <w:rPr>
          <w:rFonts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этим</w:t>
      </w:r>
      <w:r>
        <w:rPr>
          <w:rFonts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заявителем</w:t>
      </w:r>
      <w:r>
        <w:rPr>
          <w:rFonts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банке,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включенном в перечень банков в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соответствии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с распоряжением Правительства Российской Федерации от 13 июля 2018 года № 1451-р «Об утверждении перечня банков в соответствии с подпунктом «а» пункта 1 части 5 статьи 44 Федерального закона от 5 апреля 2013 года № 44-ФЗ»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(далее - специальный счет)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денежных средств в размере задатка, указанном организатором аукциона в извещении о проведении аукциона.</w:t>
      </w:r>
      <w:r>
        <w:rPr>
          <w:highlight w:val="none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3.2. 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заявке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аукционе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указываются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сведения: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а) сведения о заявителе: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полное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(сокращенное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наличии)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наименование,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основной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номер, место нахождения, телефон, адрес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почты, идентификационный номер налогоплательщика - для юридического лица;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наличии), сведения о месте жительства, телефон, адрес электронной почты, идентификационный номер налогоплательщика - для индивидуального предпринимателя;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б)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сведения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требованиям,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указанным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подпунктах </w:t>
      </w:r>
      <w:r>
        <w:rPr>
          <w:rFonts w:ascii="Times New Roman" w:hAnsi="Times New Roman" w:cs="Times New Roman"/>
          <w:sz w:val="28"/>
          <w:szCs w:val="28"/>
        </w:rPr>
        <w:t xml:space="preserve">«а»-«в»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документации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аукционе.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в) сведения о нахождении (ненахождении) заявителя под контролем иностранного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инвестора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группы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которую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входит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иностранный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инвестор, - для юридического лица;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г) сведения о решении Федеральной антимонопольной службы, оформленном на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Правительственной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комиссии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контролю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осуществлением иностранных инвестиций в Российской Федерации (далее – Правительственная комиссия),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юридического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иностранного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инвестора или группы лиц, в которую входит иностранный инвестор, в отношении тако</w:t>
      </w:r>
      <w:r>
        <w:rPr>
          <w:rFonts w:ascii="Times New Roman" w:hAnsi="Times New Roman" w:cs="Times New Roman"/>
          <w:sz w:val="28"/>
          <w:szCs w:val="28"/>
        </w:rPr>
        <w:t xml:space="preserve">го юридического лица (заявителя) установлен в порядке, предусмотренном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д) сведения о нахождении (ненахождении) заявителя в реестре недобросовестных участников аукционов.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3.3. Информация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сведения, предусмотренные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подпунктами «а» и «д» пункта 3.2</w:t>
      </w:r>
      <w:r>
        <w:rPr>
          <w:rFonts w:ascii="Times New Roman" w:hAnsi="Times New Roman" w:cs="Times New Roman"/>
          <w:sz w:val="28"/>
          <w:szCs w:val="28"/>
        </w:rPr>
        <w:t xml:space="preserve"> документации об аукционе, включаются в заявку на участие в аукционе посредством информационного взаимодействия оператора электронной площадки с официальным сайтом.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Информация и сведения, предусмотренные подпунктами «б» - «г» пункта 3.2. документации об аукционе, включаются заявителем в заявку на участие в аукционе самостоятельно при подаче заявки оператору электронной площадки.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информацию и (или) сведения, которые предусмотрены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подпунктами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«а»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«д»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3.2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документации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аукционе,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такие изменения не применяются к поданным до внесения таких изменений заявкам на участие в аукционе.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 внесения изменений в информацию и (или) сведения, которые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содержатся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заявке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аукционе,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заявителю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 xml:space="preserve">осуществить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отзыв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такой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заявки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подать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новую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заявку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пунктом</w:t>
      </w:r>
      <w:r>
        <w:rPr>
          <w:rFonts w:ascii="Times New Roman" w:hAnsi="Times New Roman" w:cs="Times New Roman"/>
          <w:spacing w:val="-9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 документации об аукционе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3.4. К заявке на участие в аукционе прилагается документ, подтверждающий полномочия лица на осуществление действий от имени заявителя (в случае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необходимости).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3.5. Заявка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на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участие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в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аукционе,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документы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сведения,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которые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представлены </w:t>
      </w:r>
      <w:r>
        <w:rPr>
          <w:rFonts w:ascii="Times New Roman" w:hAnsi="Times New Roman" w:cs="Times New Roman"/>
          <w:sz w:val="28"/>
          <w:szCs w:val="28"/>
        </w:rPr>
        <w:t xml:space="preserve">заявителем в составе заявки в электронной форме, подписываются усиленной квалифицированной электронной подписью заявителя.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Заявитель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подачей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сведений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которые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предусмотрены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пунктами </w:t>
      </w:r>
      <w:r>
        <w:rPr>
          <w:rFonts w:ascii="Times New Roman" w:hAnsi="Times New Roman" w:cs="Times New Roman"/>
          <w:sz w:val="28"/>
          <w:szCs w:val="28"/>
        </w:rPr>
        <w:t xml:space="preserve">3.2 и 3.4 документации об аукционе, подтверждает свое соответствие требованиям, установленным пунктом 2 документации об аукционе.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3.6. Требовать от заявителя представления документов, не предусмотренных пунктами 3.2 и 3.4 документации об аукционе, не допус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кается.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3.7. Заявитель впр</w:t>
      </w:r>
      <w:r>
        <w:rPr>
          <w:rFonts w:ascii="Times New Roman" w:hAnsi="Times New Roman" w:cs="Times New Roman"/>
          <w:sz w:val="28"/>
          <w:szCs w:val="28"/>
        </w:rPr>
        <w:t xml:space="preserve">аве по</w:t>
      </w:r>
      <w:r>
        <w:rPr>
          <w:rFonts w:ascii="Times New Roman" w:hAnsi="Times New Roman" w:cs="Times New Roman"/>
          <w:sz w:val="28"/>
          <w:szCs w:val="28"/>
        </w:rPr>
        <w:t xml:space="preserve">дать не более одной заявки на участие в аукционе в отношении каждого предмета аукциона (лота). Представление такой заявки подтверждает согласие заявителя выполнять обязательства в соответствии с извещением о проведении аукциона и документацией об аукционе.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3.8. Заявка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аукционе,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поступившая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срок,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указанный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извещении о проведении аукциона, регистрируется оператором электронной площадки с указанием даты и времени ее получения.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Оператор электронной площадки не позднее 10 минут с момента получения заявки направляет в банк, в котором открыт специальный счет, информацию о реквизитах такого счета и размере задатка.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Банк не позднее 40 минут с момента получения информации от оператора электронной площадки осуществляет блокирование денежных средств на специальном счете в размере задатка и направляет информацию об осуществленном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блокировании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оператору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электронной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площадки.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В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отсутствия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специальном </w:t>
      </w:r>
      <w:r>
        <w:rPr>
          <w:rFonts w:ascii="Times New Roman" w:hAnsi="Times New Roman" w:cs="Times New Roman"/>
          <w:sz w:val="28"/>
          <w:szCs w:val="28"/>
        </w:rPr>
        <w:t xml:space="preserve">счете незаблокированных денежных средств в размере задатка банк такое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блокирование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осуществляет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в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указанный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срок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направляет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оператору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электронной </w:t>
      </w:r>
      <w:r>
        <w:rPr>
          <w:rFonts w:ascii="Times New Roman" w:hAnsi="Times New Roman" w:cs="Times New Roman"/>
          <w:sz w:val="28"/>
          <w:szCs w:val="28"/>
        </w:rPr>
        <w:t xml:space="preserve">площадки информацию об отсутствии на специальном счете денежных средств в размере задатка.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3.9. Оператор электронной площадки обязан обеспечить конфиденциальность информации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участниках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аукциона,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направивших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предусмотренные пунктами 3.2 и 3.4 документации об аукционе информацию и документы, и содержания</w:t>
      </w:r>
      <w:r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таких</w:t>
      </w:r>
      <w:r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</w:t>
      </w:r>
      <w:r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направления</w:t>
      </w:r>
      <w:r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организатору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аукциона</w:t>
      </w:r>
      <w:r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заявок</w:t>
      </w:r>
      <w:r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участие в аукционе, а также бесперебойное функционирование электронной площадки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доступ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ней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организатора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аукциона,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заявителей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участников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аукциона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всего срока проведения аукциона.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3.10. Заявка на участие в аукционе возвращается оператором электронной площадки в течение одного часа с момента подачи в следующих случаях: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а) подачи заявителем 2-й заявки в отношении одного и того же предмета аукциона (лота) при условии, что поданная ранее заявка таким заявителем не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отозвана;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б)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подачи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заявки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истечении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срока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подачи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заявок;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в)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банка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отсутствии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специальном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счете денежных средств в размере задатка;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г)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заявки,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подписанной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усиленной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квалифицированной электронной подписью заявителя.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79"/>
        <w:ind w:left="0" w:right="0" w:firstLine="709"/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en-US"/>
        </w:rPr>
        <w:t xml:space="preserve">4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. Порядок отзыва заявок</w:t>
      </w:r>
      <w:r>
        <w:rPr>
          <w:rFonts w:ascii="Times New Roman" w:hAnsi="Times New Roman" w:cs="Times New Roman"/>
          <w:b/>
          <w:bCs/>
          <w:strike/>
          <w:sz w:val="28"/>
          <w:szCs w:val="28"/>
          <w:highlight w:val="green"/>
        </w:rPr>
      </w:r>
      <w:r/>
    </w:p>
    <w:p>
      <w:pPr>
        <w:pStyle w:val="879"/>
        <w:ind w:left="0" w:right="0" w:firstLine="709"/>
        <w:jc w:val="center"/>
        <w:spacing w:line="276" w:lineRule="auto"/>
        <w:rPr>
          <w:rFonts w:ascii="Times New Roman" w:hAnsi="Times New Roman" w:cs="Times New Roman"/>
          <w:b/>
          <w:bCs/>
          <w:strike/>
          <w:sz w:val="28"/>
          <w:szCs w:val="28"/>
          <w:highlight w:val="green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1" w:after="0" w:line="276" w:lineRule="auto"/>
        <w:tabs>
          <w:tab w:val="left" w:pos="1372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Заявитель,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подавший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заявку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аукционе,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вправе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отозвать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заявку в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любое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время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окончания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срока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подачи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таких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заявок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подать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новую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заявку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(взамен отозванной) до окончания срока подачи таких заявок.</w:t>
      </w:r>
      <w:r/>
    </w:p>
    <w:p>
      <w:pPr>
        <w:pStyle w:val="888"/>
        <w:ind w:left="0" w:right="0" w:firstLine="709"/>
        <w:jc w:val="both"/>
        <w:spacing w:line="276" w:lineRule="auto"/>
      </w:pPr>
      <w:r>
        <w:rPr>
          <w:rFonts w:ascii="Times New Roman" w:hAnsi="Times New Roman" w:cs="Times New Roman"/>
          <w:sz w:val="28"/>
          <w:szCs w:val="28"/>
        </w:rPr>
        <w:t xml:space="preserve">Оператор электронной площадки в течение одного часа с момента отзыва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заявки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на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участие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в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аукционе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заявителем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направляет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в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банк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информацию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реквизитах </w:t>
      </w:r>
      <w:r>
        <w:rPr>
          <w:rFonts w:ascii="Times New Roman" w:hAnsi="Times New Roman" w:cs="Times New Roman"/>
          <w:sz w:val="28"/>
          <w:szCs w:val="28"/>
        </w:rPr>
        <w:t xml:space="preserve">специального счета такого заявителя в целях прекращения блокирования денежных</w:t>
      </w:r>
      <w:r>
        <w:rPr>
          <w:rFonts w:ascii="Times New Roman" w:hAnsi="Times New Roman" w:cs="Times New Roman"/>
          <w:sz w:val="28"/>
          <w:szCs w:val="28"/>
        </w:rPr>
        <w:t xml:space="preserve"> средств в размере задатка.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88"/>
        <w:ind w:left="0" w:right="0" w:firstLine="709"/>
        <w:jc w:val="both"/>
        <w:spacing w:line="276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Банк не позднее одного часа с момента получения инфор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мации от оператора электронной площадки прекращает блокирование денежных средств на специальном счете, реквизиты которого поступили от оператора электронной площадки, и направляет информацию о прекращении такого блокирования оператору электронной площадки.</w:t>
      </w:r>
      <w:r>
        <w:rPr>
          <w:highlight w:val="none"/>
        </w:rPr>
      </w:r>
      <w:r/>
    </w:p>
    <w:p>
      <w:pPr>
        <w:pStyle w:val="888"/>
        <w:ind w:left="0" w:right="0" w:firstLine="0"/>
        <w:jc w:val="left"/>
        <w:spacing w:line="276" w:lineRule="auto"/>
        <w:rPr>
          <w:rFonts w:ascii="Times New Roman" w:hAnsi="Times New Roman" w:cs="Times New Roman"/>
          <w:b/>
          <w:bCs/>
          <w:spacing w:val="-7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pacing w:val="-7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pacing w:val="-7"/>
          <w:sz w:val="28"/>
          <w:szCs w:val="28"/>
          <w:highlight w:val="none"/>
        </w:rPr>
      </w:r>
      <w:r/>
    </w:p>
    <w:p>
      <w:pPr>
        <w:pStyle w:val="888"/>
        <w:ind w:left="0" w:right="0" w:firstLine="709"/>
        <w:jc w:val="center"/>
        <w:spacing w:line="276" w:lineRule="auto"/>
        <w:rPr>
          <w:rFonts w:ascii="Times New Roman" w:hAnsi="Times New Roman" w:cs="Times New Roman"/>
          <w:b/>
          <w:bCs/>
          <w:spacing w:val="-7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pacing w:val="-7"/>
          <w:sz w:val="28"/>
          <w:szCs w:val="28"/>
          <w:highlight w:val="none"/>
          <w:lang w:val="en-US"/>
        </w:rPr>
        <w:t xml:space="preserve">5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  <w:highlight w:val="none"/>
        </w:rPr>
        <w:t xml:space="preserve">. Срок, в течении которого должен быть заключен договор </w:t>
      </w:r>
      <w:r>
        <w:rPr>
          <w:rFonts w:ascii="Times New Roman" w:hAnsi="Times New Roman"/>
          <w:b/>
          <w:bCs/>
          <w:sz w:val="28"/>
          <w:szCs w:val="28"/>
          <w:highlight w:val="none"/>
        </w:rPr>
        <w:br/>
        <w:t xml:space="preserve">о закреплении доли квоты добычи (вылова)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водных </w:t>
        <w:br/>
        <w:t xml:space="preserve">биологических ресурсов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  <w:highlight w:val="none"/>
        </w:rPr>
      </w:r>
      <w:r/>
    </w:p>
    <w:p>
      <w:pPr>
        <w:pStyle w:val="888"/>
        <w:ind w:left="0" w:right="0" w:firstLine="709"/>
        <w:jc w:val="center"/>
        <w:spacing w:line="276" w:lineRule="auto"/>
        <w:rPr>
          <w:rFonts w:ascii="Times New Roman" w:hAnsi="Times New Roman" w:cs="Times New Roman"/>
          <w:b/>
          <w:bCs/>
          <w:spacing w:val="-7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pacing w:val="-7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pacing w:val="-7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after="0" w:line="276" w:lineRule="auto"/>
        <w:tabs>
          <w:tab w:val="left" w:pos="1507" w:leader="none"/>
        </w:tabs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Заключение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о закреплении доли квоты добычи (вылова)</w:t>
      </w:r>
      <w:r>
        <w:rPr>
          <w:rFonts w:ascii="Times New Roman" w:hAnsi="Times New Roman" w:cs="Times New Roman"/>
          <w:sz w:val="28"/>
          <w:szCs w:val="28"/>
        </w:rPr>
        <w:t xml:space="preserve"> водных биологических ресурсов </w:t>
      </w:r>
      <w:r>
        <w:rPr>
          <w:rFonts w:ascii="Times New Roman" w:hAnsi="Times New Roman" w:cs="Times New Roman"/>
          <w:sz w:val="28"/>
          <w:szCs w:val="28"/>
        </w:rPr>
        <w:t xml:space="preserve">(далее – договор) по результатам аукциона с победителем аукциона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организатором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аукциона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электронной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форме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программно-аппаратных средств электронной площадки с использованием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официального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сайта.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Заключение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по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результатам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аукциона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в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случае,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sz w:val="28"/>
          <w:szCs w:val="28"/>
        </w:rPr>
        <w:t xml:space="preserve"> аукцион признан не состоявшимся, не допускается ранее чем через 10 дней со дня размещения на официальном сайте информации о результатах аукциона или о признании такого аукциона несостоявшимся.</w:t>
      </w:r>
      <w:r/>
    </w:p>
    <w:p>
      <w:pPr>
        <w:ind w:left="0" w:right="0" w:firstLine="709"/>
        <w:jc w:val="both"/>
        <w:spacing w:before="0" w:after="0" w:line="276" w:lineRule="auto"/>
        <w:tabs>
          <w:tab w:val="left" w:pos="1507" w:leader="none"/>
        </w:tabs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Оператор электронной площадки в течение 3 часов со дня размещения протокола аукциона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и электронной площадке уведомляет победителя аукциона о необходимости внесения доплаты (разницы между задатком и окончательной ценой предмета аукциона(лота)) на счет организатора аукциона: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lang w:val="en-US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 xml:space="preserve">Победитель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аукциона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обязан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 от оператора электронной площадки уведомления,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указанного в пункте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4.2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докум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ентации об аукционе,</w:t>
      </w:r>
      <w:r>
        <w:rPr>
          <w:rFonts w:ascii="Times New Roman" w:hAnsi="Times New Roman" w:cs="Times New Roman"/>
          <w:sz w:val="28"/>
          <w:szCs w:val="28"/>
        </w:rPr>
        <w:t xml:space="preserve"> внести доплату на счет организатора аукциона.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after="0" w:line="276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.4. Организатор аукциона в течение 5 рабочих дней со дня пост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упления доплаты на счет организатора аукциона формирует в электронной форме посредством программно-аппаратных средств электронной площадки с использованием официального сайта и направляет на подписание победителю аукциона без своей подписи проект договора.</w:t>
      </w:r>
      <w:r>
        <w:rPr>
          <w:highlight w:val="none"/>
        </w:rPr>
      </w:r>
      <w:r/>
    </w:p>
    <w:p>
      <w:pPr>
        <w:ind w:left="0" w:right="0" w:firstLine="709"/>
        <w:jc w:val="both"/>
        <w:spacing w:before="0" w:after="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.5. Победитель аукциона, с которым заключается договор, в электронной форме посредством программно-аппаратных средств электронной площадки с исп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ользованием</w:t>
      </w:r>
      <w:r>
        <w:rPr>
          <w:rFonts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официального</w:t>
      </w:r>
      <w:r>
        <w:rPr>
          <w:rFonts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сайта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pacing w:val="-9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</w:t>
      </w:r>
      <w:r>
        <w:rPr>
          <w:rFonts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позднее</w:t>
      </w:r>
      <w:r>
        <w:rPr>
          <w:rFonts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рабочих</w:t>
      </w:r>
      <w:r>
        <w:rPr>
          <w:rFonts w:ascii="Times New Roman" w:hAnsi="Times New Roman" w:cs="Times New Roman"/>
          <w:spacing w:val="-1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дней,</w:t>
      </w:r>
      <w:r>
        <w:rPr>
          <w:rFonts w:ascii="Times New Roman" w:hAnsi="Times New Roman" w:cs="Times New Roman"/>
          <w:spacing w:val="-9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следующих</w:t>
      </w:r>
      <w:r>
        <w:rPr>
          <w:rFonts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</w:t>
      </w:r>
      <w:r>
        <w:rPr>
          <w:rFonts w:ascii="Times New Roman" w:hAnsi="Times New Roman" w:cs="Times New Roman"/>
          <w:spacing w:val="-9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днем направления организатором аукциона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соответствии с пунктом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окументации об аукционе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 договора, подписывает усиленной квалифицированной электронной подписью лица, имеющего право действовать от имени победителя аукциона, договор.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before="0" w:after="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.6. Организатор аукциона не позднее 5 рабочих дней, следующих за подписанием победителем аукциона догово</w:t>
      </w:r>
      <w:r>
        <w:rPr>
          <w:rFonts w:ascii="Times New Roman" w:hAnsi="Times New Roman" w:cs="Times New Roman"/>
          <w:sz w:val="28"/>
          <w:szCs w:val="28"/>
        </w:rPr>
        <w:t xml:space="preserve">ра в электронной форме посредством программно-аппаратных средств электронной площадки с использованием официального сайта подписывает договор усиленной квалифицированной электронной подписью лица, имеющего право действовать от имени организатора аукциона.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/>
    </w:p>
    <w:p>
      <w:pPr>
        <w:pStyle w:val="888"/>
        <w:ind w:left="0" w:right="0" w:firstLine="709"/>
        <w:jc w:val="both"/>
        <w:spacing w:before="1"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.7.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Договор считается заключенным в день его подписания организатором аукциона в электронной форме посредством программно-аппаратных средств электронной площадки с использованием официального сайта.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88"/>
        <w:ind w:left="0" w:right="0" w:firstLine="709"/>
        <w:jc w:val="both"/>
        <w:spacing w:before="1"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.8.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Внесение изменений в заключенный Договор осуществляется в электронной форме посредством программно-аппаратных средств электронной площадки с использованием официального сайта.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88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-2"/>
          <w:sz w:val="28"/>
          <w:szCs w:val="28"/>
          <w:highlight w:val="none"/>
          <w:lang w:val="en-US"/>
        </w:rPr>
        <w:t xml:space="preserve">5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  <w:t xml:space="preserve">.9. </w:t>
      </w:r>
      <w:r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Организатор аукциона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pacing w:val="-1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течение</w:t>
      </w:r>
      <w:r>
        <w:rPr>
          <w:rFonts w:ascii="Times New Roman" w:hAnsi="Times New Roman" w:cs="Times New Roman"/>
          <w:spacing w:val="-1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pacing w:val="-1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рабочих</w:t>
      </w:r>
      <w:r>
        <w:rPr>
          <w:rFonts w:ascii="Times New Roman" w:hAnsi="Times New Roman" w:cs="Times New Roman"/>
          <w:spacing w:val="-1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дней</w:t>
      </w:r>
      <w:r>
        <w:rPr>
          <w:rFonts w:ascii="Times New Roman" w:hAnsi="Times New Roman" w:cs="Times New Roman"/>
          <w:spacing w:val="-1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со</w:t>
      </w:r>
      <w:r>
        <w:rPr>
          <w:rFonts w:ascii="Times New Roman" w:hAnsi="Times New Roman" w:cs="Times New Roman"/>
          <w:spacing w:val="-1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дня</w:t>
      </w:r>
      <w:r>
        <w:rPr>
          <w:rFonts w:ascii="Times New Roman" w:hAnsi="Times New Roman" w:cs="Times New Roman"/>
          <w:spacing w:val="-1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заключения</w:t>
      </w:r>
      <w:r>
        <w:rPr>
          <w:rFonts w:ascii="Times New Roman" w:hAnsi="Times New Roman" w:cs="Times New Roman"/>
          <w:spacing w:val="-1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Договора</w:t>
      </w:r>
      <w:r>
        <w:rPr>
          <w:rFonts w:ascii="Times New Roman" w:hAnsi="Times New Roman" w:cs="Times New Roman"/>
          <w:spacing w:val="-1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размещает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официальном сайте информацию о таком заключении и вносит соответствующие сведения в государственный рыбохозяйственный реестр.</w:t>
      </w:r>
      <w:r>
        <w:rPr>
          <w:highlight w:val="white"/>
        </w:rPr>
      </w:r>
      <w:r/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8"/>
        <w:ind w:left="0" w:right="0" w:firstLine="709"/>
        <w:jc w:val="center"/>
        <w:spacing w:line="276" w:lineRule="auto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en-US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. Порядок перевода задатка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888"/>
        <w:ind w:left="0" w:right="0" w:firstLine="709"/>
        <w:jc w:val="both"/>
        <w:spacing w:line="276" w:lineRule="auto"/>
        <w:rPr>
          <w:rFonts w:ascii="Times New Roman" w:hAnsi="Times New Roman" w:cs="Times New Roman"/>
          <w:b/>
          <w:bCs/>
          <w:spacing w:val="-7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pacing w:val="-7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pacing w:val="-7"/>
          <w:sz w:val="28"/>
          <w:szCs w:val="28"/>
          <w:highlight w:val="none"/>
        </w:rPr>
      </w:r>
      <w:r/>
    </w:p>
    <w:p>
      <w:pPr>
        <w:pStyle w:val="879"/>
        <w:ind w:left="0" w:right="0" w:firstLine="709"/>
        <w:jc w:val="both"/>
        <w:spacing w:line="276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Внесение задатка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, указанного в пункте 1.6 документации об аукционе, осуществляется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заявителем на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специальный счет.</w:t>
      </w:r>
      <w:r/>
    </w:p>
    <w:p>
      <w:pPr>
        <w:pStyle w:val="879"/>
        <w:ind w:left="0" w:right="0" w:firstLine="709"/>
        <w:jc w:val="both"/>
        <w:spacing w:line="276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В целях блокирования и прекращения блокирования денежных средств на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специальном счете взаимодействие банков с оператором электронной площадки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осуществляется в соответствии с положениями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/>
    </w:p>
    <w:p>
      <w:pPr>
        <w:pStyle w:val="879"/>
        <w:ind w:left="0" w:right="0" w:firstLine="709"/>
        <w:jc w:val="both"/>
        <w:spacing w:line="276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Оператор электронной площадки в течение одного часа с момента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размещения организатором аукциона на электронной площадке протокола</w:t>
      </w:r>
      <w:r>
        <w:rPr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результатами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ау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кциона направляет в банк информацию:</w:t>
      </w:r>
      <w:r/>
    </w:p>
    <w:p>
      <w:pPr>
        <w:pStyle w:val="879"/>
        <w:ind w:left="0" w:right="0" w:firstLine="709"/>
        <w:jc w:val="both"/>
        <w:spacing w:line="276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о реквизитах специальных счетов участников аукциона, не победивших в аукционе, в целях прекращения блокирования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денежных средств в размере задатка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;</w:t>
      </w:r>
      <w:r/>
    </w:p>
    <w:p>
      <w:pPr>
        <w:pStyle w:val="879"/>
        <w:ind w:left="0" w:right="0" w:firstLine="709"/>
        <w:jc w:val="both"/>
        <w:spacing w:line="276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о реквизитах счета организатора аукциона в целях перевода задатка победителя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аукциона.</w:t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Банк не позднее одного часа с момента получения от оператора электронной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площадки указанной информации, прекращает блокирование денежных средств на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специальном счете, реквизиты которого поступили от оператора электронной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площадки, и направляет информацию о прекращении такого блокирования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оператору электронной площадки и (или) осуществляет перевод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заблокированных денежных средств в размере задатка на счет организатора аукциона.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/>
    </w:p>
    <w:p>
      <w:pPr>
        <w:pStyle w:val="888"/>
        <w:ind w:left="0" w:right="0" w:firstLine="709"/>
        <w:jc w:val="center"/>
        <w:spacing w:line="276" w:lineRule="auto"/>
        <w:rPr>
          <w:rFonts w:ascii="Times New Roman" w:hAnsi="Times New Roman" w:cs="Times New Roman"/>
          <w:b/>
          <w:bCs/>
          <w:spacing w:val="-7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pacing w:val="-7"/>
          <w:sz w:val="28"/>
          <w:szCs w:val="28"/>
          <w:highlight w:val="none"/>
          <w:lang w:val="en-US"/>
        </w:rPr>
        <w:t xml:space="preserve">7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  <w:highlight w:val="none"/>
        </w:rPr>
        <w:t xml:space="preserve">. Порядок и сроки перечисления доплаты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  <w:highlight w:val="none"/>
        </w:rPr>
      </w:r>
      <w:r/>
    </w:p>
    <w:p>
      <w:pPr>
        <w:pStyle w:val="888"/>
        <w:ind w:left="0" w:right="0" w:firstLine="709"/>
        <w:jc w:val="center"/>
        <w:spacing w:line="276" w:lineRule="auto"/>
        <w:rPr>
          <w:rFonts w:ascii="Times New Roman" w:hAnsi="Times New Roman" w:cs="Times New Roman"/>
          <w:b/>
          <w:bCs/>
          <w:spacing w:val="-7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pacing w:val="-7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pacing w:val="-7"/>
          <w:sz w:val="28"/>
          <w:szCs w:val="28"/>
          <w:highlight w:val="none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Победитель аукциона в течение 10 рабочих дней со дня получения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от оператора электронной площадки уведомления обязан внести доплату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(разница между задатком и окончательной стоимостью предмета аукциона) на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счет организатора аукциона.</w:t>
      </w:r>
      <w:r>
        <w:rPr>
          <w:highlight w:val="none"/>
        </w:rPr>
      </w:r>
      <w:r/>
    </w:p>
    <w:p>
      <w:pPr>
        <w:pStyle w:val="879"/>
        <w:ind w:left="0" w:right="0" w:firstLine="709"/>
        <w:jc w:val="both"/>
        <w:spacing w:line="276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Счет организатора аукциона для перечисления банком задатков победителей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аукциона, перечисления победителями аукциона доплат и перечисления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участником аукциона, сделавшим предпоследнее предложение о цене предмета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аукциона (лота), оплаты: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  <w:r/>
    </w:p>
    <w:p>
      <w:pPr>
        <w:pStyle w:val="879"/>
        <w:ind w:left="0" w:right="0" w:firstLine="709"/>
        <w:jc w:val="both"/>
        <w:spacing w:line="276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Наименование получателя средств: УФК по Ханты-Мансийскому автономному округу – Югре (Департамент промышленности Ханты-Мансийского автономного округа – Югры, л/с 04871D91560)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pStyle w:val="879"/>
        <w:ind w:left="0" w:right="0" w:firstLine="709"/>
        <w:jc w:val="both"/>
        <w:spacing w:line="276" w:lineRule="auto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Наименование банка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ОКЦ № 8 УГУ Банка России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//УФК по Хан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ты-М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ансийскому автономному округу – Югре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г.Ханты-Мансийск</w:t>
      </w:r>
      <w:r>
        <w:rPr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Номер счета получателя средств (номер казначейского счета) 03100643000000018700 </w:t>
      </w:r>
      <w:r>
        <w:rPr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Банковский счет, входящий в состав единого казначейского счета (ЕКС) 40102810245370000007</w:t>
      </w:r>
      <w:r>
        <w:rPr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БИК 007162163</w:t>
      </w:r>
      <w:r>
        <w:rPr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ИНН 8601063930 </w:t>
      </w:r>
      <w:r>
        <w:rPr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КПП 860101001  </w:t>
      </w:r>
      <w:r>
        <w:rPr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ОКТМО 71871000</w:t>
      </w:r>
      <w:r>
        <w:rPr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after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КБК 076 1 12 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en-US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01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en-US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01 6000 120</w:t>
      </w:r>
      <w:r>
        <w:rPr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after="0"/>
        <w:rPr>
          <w:rFonts w:ascii="Times New Roman" w:hAnsi="Times New Roman" w:eastAsia="Times New Roman" w:cs="Times New Roman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Назначение платежа: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0761120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en-US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01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en-US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016000120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Плата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 заключение договора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о закреплении доли квоты добычи (вылова) водных биологических ресурсов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 результатам аукциона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en-US"/>
        </w:rPr>
        <w:t xml:space="preserve">2/2026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продаже права на заключение такого договора, лот № _____,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размер доли ________ »</w:t>
      </w:r>
      <w:r>
        <w:rPr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Победителю аукциона, признанному уклонившимся от заключения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договора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о закреплении доли квоты добычи (вылова) водных биологических ресурсов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, задаток не возвращается.</w:t>
      </w:r>
      <w:r>
        <w:rPr>
          <w:highlight w:val="none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79"/>
        <w:ind w:left="0" w:right="0" w:firstLine="709"/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en-US"/>
        </w:rPr>
        <w:t xml:space="preserve">8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. Порядок и сроки перечисления платы за предмет аукциона (лота) участником аукциона, сделавшим предпоследнее предложение о цене предмета аукциона (лота), признанным победителем аукциона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879"/>
        <w:ind w:left="0" w:right="0" w:firstLine="709"/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В случае, если победителем аукциона признан участник аукциона,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сделавший предпоследнее предложение о цене предмета аукциона (лота), он в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течение 10 календарных дней со дня признания победителем аукциона вносит на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счет организатора аукциона плату за предмет аукциона (лота), в размере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предложенной цены предмета аукциона (лота) в ходе аукциона.</w:t>
      </w:r>
      <w:r/>
    </w:p>
    <w:p>
      <w:pPr>
        <w:pStyle w:val="879"/>
        <w:ind w:left="0" w:right="0" w:firstLine="709"/>
        <w:jc w:val="both"/>
        <w:spacing w:line="276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После поступления платы за предмет аукциона (лот) в размере предложенной в ходе аукциона цены предмета аукциона (лота) участник аукциона, сделавший предпоследнее предложение о ц</w:t>
      </w:r>
      <w:r>
        <w:rPr>
          <w:rFonts w:ascii="Times New Roman" w:hAnsi="Times New Roman" w:cs="Times New Roman"/>
          <w:sz w:val="28"/>
          <w:szCs w:val="28"/>
        </w:rPr>
        <w:t xml:space="preserve">ене предмета аукциона (лота), признается победителем аукциона и организатор аукциона заключает договор.</w:t>
      </w:r>
      <w:r/>
    </w:p>
    <w:p>
      <w:pPr>
        <w:pStyle w:val="879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участника аукциона, сделавшего предпос</w:t>
      </w:r>
      <w:r>
        <w:rPr>
          <w:rFonts w:ascii="Times New Roman" w:hAnsi="Times New Roman" w:cs="Times New Roman"/>
          <w:sz w:val="28"/>
          <w:szCs w:val="28"/>
        </w:rPr>
        <w:t xml:space="preserve">леднее предложение о цене предмета аукциона (лота), от заключения договора организатор аукциона реализует предмет аукциона (лот) повторно.</w:t>
      </w: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417" w:right="1276" w:bottom="1134" w:left="1559" w:header="0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entury Gothic">
    <w:panose1 w:val="020B050202020202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872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/>
  </w:p>
  <w:p>
    <w:pPr>
      <w:pStyle w:val="872"/>
      <w:jc w:val="center"/>
      <w:rPr>
        <w:rFonts w:ascii="Times New Roman" w:hAnsi="Times New Roman" w:cs="Times New Roman"/>
        <w:sz w:val="24"/>
        <w:szCs w:val="24"/>
        <w:highlight w:val="none"/>
      </w:rPr>
    </w:pPr>
    <w:fldSimple w:instr="PAGE \* MERGEFORMAT">
      <w:r>
        <w:rPr>
          <w:rFonts w:ascii="Times New Roman" w:hAnsi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/>
  </w:p>
  <w:p>
    <w:pPr>
      <w:pStyle w:val="87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181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40" w:hanging="7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140" w:hanging="1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5582" w:hanging="17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6283" w:hanging="17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984" w:hanging="17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685" w:hanging="17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386" w:hanging="17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9087" w:hanging="17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181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40" w:hanging="7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140" w:hanging="1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5582" w:hanging="17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6283" w:hanging="17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984" w:hanging="17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685" w:hanging="17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386" w:hanging="17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9087" w:hanging="17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5"/>
    <w:next w:val="865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66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5"/>
    <w:next w:val="865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6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5"/>
    <w:next w:val="865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66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5"/>
    <w:next w:val="865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66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5"/>
    <w:next w:val="865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6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5"/>
    <w:next w:val="865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6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5"/>
    <w:next w:val="865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66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5"/>
    <w:next w:val="865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66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5"/>
    <w:next w:val="865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66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65"/>
    <w:uiPriority w:val="34"/>
    <w:qFormat/>
    <w:pPr>
      <w:contextualSpacing/>
      <w:ind w:left="720"/>
    </w:pPr>
  </w:style>
  <w:style w:type="paragraph" w:styleId="711">
    <w:name w:val="Title"/>
    <w:basedOn w:val="865"/>
    <w:next w:val="865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basedOn w:val="866"/>
    <w:link w:val="711"/>
    <w:uiPriority w:val="10"/>
    <w:rPr>
      <w:sz w:val="48"/>
      <w:szCs w:val="48"/>
    </w:rPr>
  </w:style>
  <w:style w:type="paragraph" w:styleId="713">
    <w:name w:val="Subtitle"/>
    <w:basedOn w:val="865"/>
    <w:next w:val="865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66"/>
    <w:link w:val="713"/>
    <w:uiPriority w:val="11"/>
    <w:rPr>
      <w:sz w:val="24"/>
      <w:szCs w:val="24"/>
    </w:rPr>
  </w:style>
  <w:style w:type="paragraph" w:styleId="715">
    <w:name w:val="Quote"/>
    <w:basedOn w:val="865"/>
    <w:next w:val="865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5"/>
    <w:next w:val="865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character" w:styleId="719">
    <w:name w:val="Header Char"/>
    <w:basedOn w:val="866"/>
    <w:link w:val="872"/>
    <w:uiPriority w:val="99"/>
  </w:style>
  <w:style w:type="character" w:styleId="720">
    <w:name w:val="Footer Char"/>
    <w:basedOn w:val="866"/>
    <w:link w:val="874"/>
    <w:uiPriority w:val="99"/>
  </w:style>
  <w:style w:type="paragraph" w:styleId="721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874"/>
    <w:uiPriority w:val="99"/>
  </w:style>
  <w:style w:type="table" w:styleId="723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basedOn w:val="866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basedOn w:val="866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qFormat/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paragraph" w:styleId="869">
    <w:name w:val="Balloon Text"/>
    <w:basedOn w:val="865"/>
    <w:link w:val="87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0" w:customStyle="1">
    <w:name w:val="Текст выноски Знак"/>
    <w:basedOn w:val="866"/>
    <w:link w:val="869"/>
    <w:uiPriority w:val="99"/>
    <w:semiHidden/>
    <w:rPr>
      <w:rFonts w:ascii="Tahoma" w:hAnsi="Tahoma" w:cs="Tahoma"/>
      <w:sz w:val="16"/>
      <w:szCs w:val="16"/>
    </w:rPr>
  </w:style>
  <w:style w:type="table" w:styleId="871">
    <w:name w:val="Table Grid"/>
    <w:basedOn w:val="86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2">
    <w:name w:val="Header"/>
    <w:basedOn w:val="865"/>
    <w:link w:val="8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866"/>
    <w:link w:val="872"/>
    <w:uiPriority w:val="99"/>
  </w:style>
  <w:style w:type="paragraph" w:styleId="874">
    <w:name w:val="Footer"/>
    <w:basedOn w:val="865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 w:customStyle="1">
    <w:name w:val="Нижний колонтитул Знак"/>
    <w:basedOn w:val="866"/>
    <w:link w:val="874"/>
    <w:uiPriority w:val="99"/>
  </w:style>
  <w:style w:type="paragraph" w:styleId="876" w:customStyle="1">
    <w:name w:val="ConsPlusTitle"/>
    <w:pPr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877">
    <w:name w:val="Body Text Indent"/>
    <w:basedOn w:val="865"/>
    <w:link w:val="878"/>
    <w:pPr>
      <w:ind w:left="283"/>
      <w:spacing w:after="120"/>
    </w:pPr>
    <w:rPr>
      <w:rFonts w:ascii="Century Gothic" w:hAnsi="Century Gothic" w:eastAsia="Times New Roman" w:cs="Times New Roman"/>
      <w:lang w:val="en-US"/>
    </w:rPr>
  </w:style>
  <w:style w:type="character" w:styleId="878" w:customStyle="1">
    <w:name w:val="Основной текст с отступом Знак"/>
    <w:basedOn w:val="866"/>
    <w:link w:val="877"/>
    <w:rPr>
      <w:rFonts w:ascii="Century Gothic" w:hAnsi="Century Gothic" w:eastAsia="Times New Roman" w:cs="Times New Roman"/>
      <w:lang w:val="en-US"/>
    </w:rPr>
  </w:style>
  <w:style w:type="paragraph" w:styleId="879">
    <w:name w:val="No Spacing"/>
    <w:uiPriority w:val="1"/>
    <w:qFormat/>
    <w:pPr>
      <w:spacing w:after="0" w:line="240" w:lineRule="auto"/>
    </w:pPr>
  </w:style>
  <w:style w:type="paragraph" w:styleId="880">
    <w:name w:val="Body Text 2"/>
    <w:basedOn w:val="865"/>
    <w:link w:val="881"/>
    <w:uiPriority w:val="99"/>
    <w:unhideWhenUsed/>
    <w:pPr>
      <w:spacing w:after="120" w:line="480" w:lineRule="auto"/>
    </w:pPr>
  </w:style>
  <w:style w:type="character" w:styleId="881" w:customStyle="1">
    <w:name w:val="Основной текст 2 Знак"/>
    <w:basedOn w:val="866"/>
    <w:link w:val="880"/>
    <w:uiPriority w:val="99"/>
  </w:style>
  <w:style w:type="paragraph" w:styleId="882" w:customStyle="1">
    <w:name w:val="Default"/>
    <w:pPr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883">
    <w:name w:val="Hyperlink"/>
    <w:basedOn w:val="866"/>
    <w:uiPriority w:val="99"/>
    <w:unhideWhenUsed/>
    <w:rPr>
      <w:color w:val="0000ff" w:themeColor="hyperlink"/>
      <w:u w:val="single"/>
    </w:rPr>
  </w:style>
  <w:style w:type="character" w:styleId="884" w:customStyle="1">
    <w:name w:val="extended-text__short"/>
    <w:basedOn w:val="866"/>
  </w:style>
  <w:style w:type="paragraph" w:styleId="885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886">
    <w:name w:val="Strong"/>
    <w:basedOn w:val="866"/>
    <w:uiPriority w:val="22"/>
    <w:qFormat/>
    <w:rPr>
      <w:b/>
      <w:bCs/>
    </w:rPr>
  </w:style>
  <w:style w:type="paragraph" w:styleId="887" w:customStyle="1">
    <w:name w:val="       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Courier New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88" w:customStyle="1">
    <w:name w:val="Body Text"/>
    <w:uiPriority w:val="1"/>
    <w:qFormat/>
    <w:pPr>
      <w:contextualSpacing w:val="0"/>
      <w:ind w:left="14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89" w:customStyle="1">
    <w:name w:val="Table Paragraph"/>
    <w:uiPriority w:val="1"/>
    <w:qFormat/>
    <w:pPr>
      <w:contextualSpacing w:val="0"/>
      <w:ind w:left="16" w:right="0" w:firstLine="0"/>
      <w:jc w:val="left"/>
      <w:keepLines w:val="0"/>
      <w:keepNext w:val="0"/>
      <w:pageBreakBefore w:val="0"/>
      <w:spacing w:before="155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mailto:depprom@admhmao.ru" TargetMode="External"/><Relationship Id="rId14" Type="http://schemas.openxmlformats.org/officeDocument/2006/relationships/hyperlink" Target="https://utp.sberbank-ast.ru." TargetMode="External"/><Relationship Id="rId15" Type="http://schemas.openxmlformats.org/officeDocument/2006/relationships/hyperlink" Target="http://www.torgi.gov.ru" TargetMode="External"/><Relationship Id="rId16" Type="http://schemas.openxmlformats.org/officeDocument/2006/relationships/hyperlink" Target="https://utp.sberbank-ast.ru" TargetMode="External"/><Relationship Id="rId17" Type="http://schemas.openxmlformats.org/officeDocument/2006/relationships/hyperlink" Target="https://depprom.admhmao.ru/deyatelnost/upravlenie-agropromyshlennogo-kompleksa/rybokhozyaystvennyy-kompleks/." TargetMode="External"/><Relationship Id="rId18" Type="http://schemas.openxmlformats.org/officeDocument/2006/relationships/hyperlink" Target="http://www.sberbank-as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s://login.consultant.ru/link/?req=doc&amp;base=LAW&amp;n=483238&amp;date=10.03.2025" TargetMode="External"/><Relationship Id="rId21" Type="http://schemas.openxmlformats.org/officeDocument/2006/relationships/hyperlink" Target="https://login.consultant.ru/link/?req=doc&amp;base=LAW&amp;n=456130&amp;date=10.03.2025" TargetMode="External"/><Relationship Id="rId22" Type="http://schemas.openxmlformats.org/officeDocument/2006/relationships/hyperlink" Target="https://login.consultant.ru/link/?req=doc&amp;base=LAW&amp;n=481408&amp;date=10.03.2025&amp;dst=842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90017-04A6-4E84-8FA5-4AACE21F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45</cp:revision>
  <dcterms:created xsi:type="dcterms:W3CDTF">2020-07-02T06:46:00Z</dcterms:created>
  <dcterms:modified xsi:type="dcterms:W3CDTF">2026-05-15T05:17:49Z</dcterms:modified>
</cp:coreProperties>
</file>